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line="640" w:lineRule="exac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附件</w:t>
      </w:r>
    </w:p>
    <w:p>
      <w:pPr>
        <w:widowControl/>
        <w:snapToGrid w:val="0"/>
        <w:spacing w:line="640" w:lineRule="exact"/>
        <w:ind w:firstLine="301"/>
        <w:jc w:val="center"/>
        <w:rPr>
          <w:rFonts w:hint="eastAsia" w:ascii="方正小标宋简体" w:hAnsi="微软雅黑" w:eastAsia="方正小标宋简体" w:cs="宋体"/>
          <w:color w:val="auto"/>
          <w:kern w:val="0"/>
          <w:sz w:val="44"/>
          <w:szCs w:val="44"/>
          <w:lang w:val="en-US" w:eastAsia="zh-CN"/>
        </w:rPr>
      </w:pPr>
      <w:r>
        <w:rPr>
          <w:rFonts w:hint="eastAsia" w:ascii="方正小标宋简体" w:hAnsi="微软雅黑" w:eastAsia="方正小标宋简体" w:cs="宋体"/>
          <w:color w:val="auto"/>
          <w:kern w:val="0"/>
          <w:sz w:val="44"/>
          <w:szCs w:val="44"/>
          <w:lang w:val="en-US" w:eastAsia="zh-CN"/>
        </w:rPr>
        <w:t>广东省</w:t>
      </w:r>
      <w:r>
        <w:rPr>
          <w:rFonts w:hint="eastAsia" w:ascii="方正小标宋简体" w:hAnsi="微软雅黑" w:eastAsia="方正小标宋简体" w:cs="宋体"/>
          <w:color w:val="auto"/>
          <w:kern w:val="0"/>
          <w:sz w:val="44"/>
          <w:szCs w:val="44"/>
        </w:rPr>
        <w:t>药品零售企业</w:t>
      </w:r>
      <w:r>
        <w:rPr>
          <w:rFonts w:hint="eastAsia" w:ascii="方正小标宋简体" w:hAnsi="微软雅黑" w:eastAsia="方正小标宋简体" w:cs="宋体"/>
          <w:color w:val="auto"/>
          <w:kern w:val="0"/>
          <w:sz w:val="44"/>
          <w:szCs w:val="44"/>
          <w:lang w:val="en-US" w:eastAsia="zh-CN"/>
        </w:rPr>
        <w:t>开办验收实施细则</w:t>
      </w:r>
    </w:p>
    <w:p>
      <w:pPr>
        <w:widowControl/>
        <w:snapToGrid w:val="0"/>
        <w:spacing w:line="640" w:lineRule="exact"/>
        <w:ind w:firstLine="301"/>
        <w:jc w:val="center"/>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w:t>
      </w:r>
      <w:r>
        <w:rPr>
          <w:rFonts w:hint="eastAsia" w:ascii="楷体" w:hAnsi="楷体" w:eastAsia="楷体" w:cs="楷体"/>
          <w:color w:val="auto"/>
          <w:kern w:val="0"/>
          <w:sz w:val="32"/>
          <w:szCs w:val="32"/>
          <w:lang w:val="en-US" w:eastAsia="zh-CN"/>
        </w:rPr>
        <w:t>征求意见稿</w:t>
      </w:r>
      <w:r>
        <w:rPr>
          <w:rFonts w:hint="eastAsia" w:ascii="楷体" w:hAnsi="楷体" w:eastAsia="楷体" w:cs="楷体"/>
          <w:color w:val="auto"/>
          <w:kern w:val="0"/>
          <w:sz w:val="32"/>
          <w:szCs w:val="32"/>
        </w:rPr>
        <w:t>）</w:t>
      </w:r>
    </w:p>
    <w:p>
      <w:pPr>
        <w:snapToGrid w:val="0"/>
        <w:spacing w:line="640" w:lineRule="exact"/>
        <w:rPr>
          <w:rFonts w:hint="eastAsia" w:eastAsia="仿宋"/>
          <w:color w:val="auto"/>
          <w:sz w:val="32"/>
          <w:szCs w:val="32"/>
        </w:rPr>
      </w:pPr>
    </w:p>
    <w:p>
      <w:pPr>
        <w:shd w:val="clear" w:color="auto" w:fill="FFFFFF"/>
        <w:snapToGrid w:val="0"/>
        <w:spacing w:line="640" w:lineRule="exact"/>
        <w:ind w:firstLine="641"/>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第一章 总则</w:t>
      </w:r>
    </w:p>
    <w:p>
      <w:pPr>
        <w:pStyle w:val="5"/>
        <w:keepNext w:val="0"/>
        <w:keepLines w:val="0"/>
        <w:widowControl/>
        <w:suppressLineNumbers w:val="0"/>
        <w:spacing w:before="0" w:beforeAutospacing="0" w:after="0" w:afterAutospacing="0"/>
        <w:ind w:left="0" w:right="0" w:firstLine="640" w:firstLineChars="200"/>
        <w:jc w:val="left"/>
        <w:rPr>
          <w:rFonts w:hint="eastAsia" w:ascii="仿宋" w:hAnsi="仿宋" w:eastAsia="仿宋" w:cs="宋体"/>
          <w:color w:val="auto"/>
          <w:kern w:val="0"/>
          <w:sz w:val="32"/>
          <w:szCs w:val="32"/>
        </w:rPr>
      </w:pPr>
      <w:r>
        <w:rPr>
          <w:rFonts w:hint="eastAsia" w:ascii="楷体" w:hAnsi="楷体" w:eastAsia="楷体" w:cs="楷体"/>
          <w:color w:val="auto"/>
          <w:kern w:val="0"/>
          <w:sz w:val="32"/>
          <w:szCs w:val="32"/>
        </w:rPr>
        <w:t>第一条</w:t>
      </w:r>
      <w:r>
        <w:rPr>
          <w:rFonts w:hint="eastAsia" w:ascii="仿宋" w:hAnsi="宋体" w:eastAsia="仿宋" w:cs="宋体"/>
          <w:color w:val="auto"/>
          <w:kern w:val="0"/>
          <w:sz w:val="32"/>
          <w:szCs w:val="32"/>
        </w:rPr>
        <w:t xml:space="preserve"> </w:t>
      </w:r>
      <w:r>
        <w:rPr>
          <w:rFonts w:hint="eastAsia" w:ascii="仿宋" w:hAnsi="仿宋" w:eastAsia="仿宋" w:cs="宋体"/>
          <w:color w:val="auto"/>
          <w:kern w:val="0"/>
          <w:sz w:val="32"/>
          <w:szCs w:val="32"/>
        </w:rPr>
        <w:t>为落实《国务院办公厅关于进一步改革完善药品生产流通使用政策的若干意见》（国办发〔2017〕13号），规范药品零售企业经营行为，促进我省医药产业</w:t>
      </w:r>
      <w:r>
        <w:rPr>
          <w:rFonts w:hint="eastAsia" w:ascii="仿宋" w:hAnsi="仿宋" w:eastAsia="仿宋" w:cs="宋体"/>
          <w:color w:val="auto"/>
          <w:kern w:val="0"/>
          <w:sz w:val="32"/>
          <w:szCs w:val="32"/>
          <w:lang w:val="en-US" w:eastAsia="zh-CN"/>
        </w:rPr>
        <w:t>高质量</w:t>
      </w:r>
      <w:r>
        <w:rPr>
          <w:rFonts w:hint="eastAsia" w:ascii="仿宋" w:hAnsi="仿宋" w:eastAsia="仿宋" w:cs="宋体"/>
          <w:color w:val="auto"/>
          <w:kern w:val="0"/>
          <w:sz w:val="32"/>
          <w:szCs w:val="32"/>
        </w:rPr>
        <w:t>发展，根据《中华人民共和国药品管理法》及其实施条例、《药品经营质量管理规范》《药品经营许可证管理办法》</w:t>
      </w:r>
      <w:r>
        <w:rPr>
          <w:rFonts w:hint="eastAsia" w:ascii="仿宋" w:hAnsi="仿宋" w:eastAsia="仿宋" w:cs="宋体"/>
          <w:color w:val="auto"/>
          <w:kern w:val="0"/>
          <w:sz w:val="32"/>
          <w:szCs w:val="32"/>
          <w:lang w:eastAsia="zh-CN"/>
        </w:rPr>
        <w:t>《国家药监局关于规范药品零售企业配备使用执业药师的通知》（国药监药管〔2020〕25号）《</w:t>
      </w:r>
      <w:r>
        <w:rPr>
          <w:rFonts w:hint="eastAsia" w:ascii="仿宋" w:hAnsi="仿宋" w:eastAsia="仿宋" w:cs="宋体"/>
          <w:color w:val="auto"/>
          <w:kern w:val="0"/>
          <w:sz w:val="32"/>
          <w:szCs w:val="32"/>
          <w:lang w:val="en-US" w:eastAsia="zh-CN"/>
        </w:rPr>
        <w:t>广东省药品监督管理局办公室关于规范药品零售企业差异化配备使用执业药师的通知</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粤药监办药二〔2020〕515号</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等</w:t>
      </w:r>
      <w:r>
        <w:rPr>
          <w:rFonts w:hint="eastAsia" w:ascii="仿宋" w:hAnsi="仿宋" w:eastAsia="仿宋" w:cs="宋体"/>
          <w:color w:val="auto"/>
          <w:kern w:val="0"/>
          <w:sz w:val="32"/>
          <w:szCs w:val="32"/>
          <w:lang w:eastAsia="zh-CN"/>
        </w:rPr>
        <w:t>法律法规</w:t>
      </w:r>
      <w:r>
        <w:rPr>
          <w:rFonts w:hint="eastAsia" w:ascii="仿宋" w:hAnsi="仿宋" w:eastAsia="仿宋" w:cs="宋体"/>
          <w:color w:val="auto"/>
          <w:kern w:val="0"/>
          <w:sz w:val="32"/>
          <w:szCs w:val="32"/>
          <w:lang w:val="en-US" w:eastAsia="zh-CN"/>
        </w:rPr>
        <w:t>和</w:t>
      </w:r>
      <w:r>
        <w:rPr>
          <w:rFonts w:hint="eastAsia" w:ascii="仿宋" w:hAnsi="仿宋" w:eastAsia="仿宋" w:cs="宋体"/>
          <w:color w:val="auto"/>
          <w:kern w:val="0"/>
          <w:sz w:val="32"/>
          <w:szCs w:val="32"/>
          <w:lang w:eastAsia="zh-CN"/>
        </w:rPr>
        <w:t>政策</w:t>
      </w:r>
      <w:r>
        <w:rPr>
          <w:rFonts w:hint="eastAsia" w:ascii="仿宋" w:hAnsi="仿宋" w:eastAsia="仿宋" w:cs="宋体"/>
          <w:color w:val="auto"/>
          <w:kern w:val="0"/>
          <w:sz w:val="32"/>
          <w:szCs w:val="32"/>
          <w:lang w:val="en-US" w:eastAsia="zh-CN"/>
        </w:rPr>
        <w:t>文件</w:t>
      </w:r>
      <w:r>
        <w:rPr>
          <w:rFonts w:hint="eastAsia" w:ascii="仿宋" w:hAnsi="仿宋" w:eastAsia="仿宋" w:cs="宋体"/>
          <w:color w:val="auto"/>
          <w:kern w:val="0"/>
          <w:sz w:val="32"/>
          <w:szCs w:val="32"/>
        </w:rPr>
        <w:t>，结合我省实际，制定本</w:t>
      </w:r>
      <w:r>
        <w:rPr>
          <w:rFonts w:hint="eastAsia" w:ascii="仿宋" w:hAnsi="仿宋" w:eastAsia="仿宋" w:cs="宋体"/>
          <w:color w:val="auto"/>
          <w:kern w:val="0"/>
          <w:sz w:val="32"/>
          <w:szCs w:val="32"/>
          <w:lang w:val="en-US" w:eastAsia="zh-CN"/>
        </w:rPr>
        <w:t>细则</w:t>
      </w:r>
      <w:r>
        <w:rPr>
          <w:rFonts w:hint="eastAsia" w:ascii="仿宋" w:hAnsi="仿宋" w:eastAsia="仿宋" w:cs="宋体"/>
          <w:color w:val="auto"/>
          <w:kern w:val="0"/>
          <w:sz w:val="32"/>
          <w:szCs w:val="32"/>
        </w:rPr>
        <w:t>。</w:t>
      </w:r>
    </w:p>
    <w:p>
      <w:pPr>
        <w:widowControl/>
        <w:shd w:val="clear" w:color="auto" w:fill="FFFFFF"/>
        <w:snapToGrid w:val="0"/>
        <w:spacing w:line="640" w:lineRule="exact"/>
        <w:ind w:firstLine="641"/>
        <w:jc w:val="left"/>
        <w:rPr>
          <w:rFonts w:hint="eastAsia" w:ascii="仿宋" w:hAnsi="仿宋" w:eastAsia="仿宋" w:cs="宋体"/>
          <w:color w:val="auto"/>
          <w:kern w:val="0"/>
          <w:sz w:val="32"/>
          <w:szCs w:val="32"/>
        </w:rPr>
      </w:pPr>
      <w:r>
        <w:rPr>
          <w:rFonts w:hint="eastAsia" w:ascii="楷体" w:hAnsi="楷体" w:eastAsia="楷体" w:cs="楷体"/>
          <w:color w:val="auto"/>
          <w:kern w:val="0"/>
          <w:sz w:val="32"/>
          <w:szCs w:val="32"/>
        </w:rPr>
        <w:t>第二条</w:t>
      </w:r>
      <w:r>
        <w:rPr>
          <w:rFonts w:hint="eastAsia" w:ascii="仿宋" w:hAnsi="宋体" w:eastAsia="仿宋" w:cs="宋体"/>
          <w:color w:val="auto"/>
          <w:kern w:val="0"/>
          <w:sz w:val="32"/>
          <w:szCs w:val="32"/>
        </w:rPr>
        <w:t xml:space="preserve"> </w:t>
      </w:r>
      <w:r>
        <w:rPr>
          <w:rFonts w:hint="eastAsia" w:ascii="仿宋" w:hAnsi="仿宋" w:eastAsia="仿宋" w:cs="宋体"/>
          <w:color w:val="auto"/>
          <w:kern w:val="0"/>
          <w:sz w:val="32"/>
          <w:szCs w:val="32"/>
        </w:rPr>
        <w:t>本</w:t>
      </w:r>
      <w:r>
        <w:rPr>
          <w:rFonts w:hint="eastAsia" w:ascii="仿宋" w:hAnsi="仿宋" w:eastAsia="仿宋" w:cs="宋体"/>
          <w:color w:val="auto"/>
          <w:kern w:val="0"/>
          <w:sz w:val="32"/>
          <w:szCs w:val="32"/>
          <w:lang w:val="en-US" w:eastAsia="zh-CN"/>
        </w:rPr>
        <w:t>细则</w:t>
      </w:r>
      <w:r>
        <w:rPr>
          <w:rFonts w:hint="eastAsia" w:ascii="仿宋" w:hAnsi="仿宋" w:eastAsia="仿宋" w:cs="宋体"/>
          <w:color w:val="auto"/>
          <w:kern w:val="0"/>
          <w:sz w:val="32"/>
          <w:szCs w:val="32"/>
        </w:rPr>
        <w:t>适用于广东省行政区域内药品零售企业（含药品零售连锁企业门店</w:t>
      </w:r>
      <w:r>
        <w:rPr>
          <w:rFonts w:hint="eastAsia" w:ascii="仿宋" w:hAnsi="仿宋" w:eastAsia="仿宋"/>
          <w:color w:val="auto"/>
          <w:sz w:val="32"/>
          <w:szCs w:val="32"/>
        </w:rPr>
        <w:t>，以下简称“企业”</w:t>
      </w:r>
      <w:r>
        <w:rPr>
          <w:rFonts w:hint="eastAsia" w:ascii="仿宋" w:hAnsi="仿宋" w:eastAsia="仿宋" w:cs="宋体"/>
          <w:color w:val="auto"/>
          <w:kern w:val="0"/>
          <w:sz w:val="32"/>
          <w:szCs w:val="32"/>
        </w:rPr>
        <w:t>）《药品经营许可证》的核发、换证、变更</w:t>
      </w:r>
      <w:r>
        <w:rPr>
          <w:rFonts w:hint="eastAsia" w:ascii="仿宋" w:hAnsi="仿宋" w:eastAsia="仿宋" w:cs="宋体"/>
          <w:color w:val="auto"/>
          <w:kern w:val="0"/>
          <w:sz w:val="32"/>
          <w:szCs w:val="32"/>
          <w:lang w:val="en-US" w:eastAsia="zh-CN"/>
        </w:rPr>
        <w:t>的</w:t>
      </w:r>
      <w:r>
        <w:rPr>
          <w:rFonts w:hint="eastAsia" w:ascii="仿宋" w:hAnsi="仿宋" w:eastAsia="仿宋" w:cs="仿宋"/>
          <w:i w:val="0"/>
          <w:caps w:val="0"/>
          <w:color w:val="auto"/>
          <w:spacing w:val="0"/>
          <w:sz w:val="32"/>
          <w:szCs w:val="32"/>
          <w:shd w:val="clear" w:fill="FFFFFF"/>
        </w:rPr>
        <w:t>现场检查和审核工作</w:t>
      </w:r>
      <w:r>
        <w:rPr>
          <w:rFonts w:hint="eastAsia" w:ascii="仿宋" w:hAnsi="仿宋" w:eastAsia="仿宋" w:cs="宋体"/>
          <w:color w:val="auto"/>
          <w:kern w:val="0"/>
          <w:sz w:val="32"/>
          <w:szCs w:val="32"/>
        </w:rPr>
        <w:t>。</w:t>
      </w:r>
    </w:p>
    <w:p>
      <w:pPr>
        <w:widowControl/>
        <w:shd w:val="clear" w:color="auto" w:fill="FFFFFF"/>
        <w:snapToGrid w:val="0"/>
        <w:spacing w:line="640" w:lineRule="exact"/>
        <w:ind w:firstLine="641"/>
        <w:jc w:val="left"/>
        <w:rPr>
          <w:rFonts w:hint="eastAsia" w:ascii="仿宋" w:hAnsi="仿宋" w:eastAsia="仿宋" w:cs="宋体"/>
          <w:color w:val="auto"/>
          <w:kern w:val="0"/>
          <w:sz w:val="32"/>
          <w:szCs w:val="32"/>
        </w:rPr>
      </w:pPr>
      <w:r>
        <w:rPr>
          <w:rFonts w:hint="eastAsia" w:ascii="楷体" w:hAnsi="楷体" w:eastAsia="楷体" w:cs="楷体"/>
          <w:color w:val="auto"/>
          <w:sz w:val="32"/>
          <w:szCs w:val="32"/>
          <w:lang w:val="en-US" w:eastAsia="zh-CN"/>
        </w:rPr>
        <w:t>第三条</w:t>
      </w:r>
      <w:r>
        <w:rPr>
          <w:rFonts w:hint="eastAsia" w:ascii="仿宋" w:hAnsi="仿宋" w:eastAsia="仿宋"/>
          <w:color w:val="auto"/>
          <w:sz w:val="32"/>
          <w:szCs w:val="32"/>
          <w:lang w:val="en-US" w:eastAsia="zh-CN"/>
        </w:rPr>
        <w:t xml:space="preserve"> 县级以上</w:t>
      </w:r>
      <w:r>
        <w:rPr>
          <w:rFonts w:hint="eastAsia" w:ascii="仿宋" w:hAnsi="仿宋" w:eastAsia="仿宋"/>
          <w:color w:val="auto"/>
          <w:sz w:val="32"/>
          <w:szCs w:val="32"/>
        </w:rPr>
        <w:t>药品监督管理部门负责本辖区内药品零售企业《药品经营许可证》的管理工作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并</w:t>
      </w:r>
      <w:r>
        <w:rPr>
          <w:rFonts w:hint="eastAsia" w:ascii="仿宋" w:hAnsi="仿宋" w:eastAsia="仿宋" w:cs="宋体"/>
          <w:i w:val="0"/>
          <w:caps w:val="0"/>
          <w:color w:val="auto"/>
          <w:spacing w:val="0"/>
          <w:kern w:val="0"/>
          <w:sz w:val="32"/>
          <w:szCs w:val="32"/>
        </w:rPr>
        <w:t>对申请开办只经营乙类非处方药的零售企业审批实行告知承诺制</w:t>
      </w:r>
      <w:r>
        <w:rPr>
          <w:rFonts w:hint="eastAsia" w:ascii="仿宋" w:hAnsi="仿宋" w:eastAsia="仿宋"/>
          <w:color w:val="auto"/>
          <w:sz w:val="32"/>
          <w:szCs w:val="32"/>
        </w:rPr>
        <w:t>。各级药品监管部门按照属地管理原则负责药品零售企业的日常监督管理工作。</w:t>
      </w:r>
    </w:p>
    <w:p>
      <w:pPr>
        <w:shd w:val="clear" w:color="auto" w:fill="FFFFFF"/>
        <w:snapToGrid w:val="0"/>
        <w:spacing w:line="640" w:lineRule="exact"/>
        <w:ind w:firstLine="641"/>
        <w:jc w:val="center"/>
        <w:rPr>
          <w:rFonts w:hint="eastAsia" w:ascii="黑体" w:hAnsi="黑体" w:eastAsia="黑体" w:cs="宋体"/>
          <w:color w:val="auto"/>
          <w:kern w:val="0"/>
          <w:sz w:val="32"/>
          <w:szCs w:val="32"/>
        </w:rPr>
      </w:pPr>
    </w:p>
    <w:p>
      <w:pPr>
        <w:snapToGrid w:val="0"/>
        <w:spacing w:line="640" w:lineRule="exact"/>
        <w:jc w:val="center"/>
        <w:rPr>
          <w:rFonts w:hint="eastAsia" w:ascii="黑体" w:hAnsi="黑体" w:eastAsia="黑体" w:cs="宋体"/>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章</w:t>
      </w:r>
      <w:r>
        <w:rPr>
          <w:rFonts w:hint="eastAsia" w:ascii="黑体" w:hAnsi="黑体" w:eastAsia="黑体" w:cs="宋体"/>
          <w:color w:val="auto"/>
          <w:kern w:val="0"/>
          <w:sz w:val="32"/>
          <w:szCs w:val="32"/>
        </w:rPr>
        <w:t xml:space="preserve"> 机构人员</w:t>
      </w:r>
    </w:p>
    <w:p>
      <w:pPr>
        <w:snapToGrid w:val="0"/>
        <w:spacing w:line="640" w:lineRule="exact"/>
        <w:ind w:firstLine="645"/>
        <w:rPr>
          <w:rFonts w:hint="eastAsia" w:ascii="仿宋" w:hAnsi="仿宋" w:eastAsia="仿宋"/>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条</w:t>
      </w:r>
      <w:r>
        <w:rPr>
          <w:rFonts w:hint="eastAsia" w:ascii="仿宋" w:hAnsi="仿宋" w:eastAsia="仿宋"/>
          <w:color w:val="auto"/>
          <w:sz w:val="32"/>
          <w:szCs w:val="32"/>
        </w:rPr>
        <w:t xml:space="preserve"> 企业、企业法定代表人或企业负责人、质量管理负责人无《药品管理法》第118</w:t>
      </w:r>
      <w:r>
        <w:rPr>
          <w:rFonts w:hint="eastAsia" w:ascii="仿宋" w:hAnsi="仿宋" w:eastAsia="仿宋"/>
          <w:color w:val="auto"/>
          <w:sz w:val="32"/>
          <w:szCs w:val="32"/>
          <w:lang w:val="en-US" w:eastAsia="zh-CN"/>
        </w:rPr>
        <w:t>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第</w:t>
      </w:r>
      <w:r>
        <w:rPr>
          <w:rFonts w:hint="eastAsia" w:ascii="仿宋" w:hAnsi="仿宋" w:eastAsia="仿宋"/>
          <w:color w:val="auto"/>
          <w:sz w:val="32"/>
          <w:szCs w:val="32"/>
        </w:rPr>
        <w:t>122</w:t>
      </w:r>
      <w:r>
        <w:rPr>
          <w:rFonts w:hint="eastAsia" w:ascii="仿宋" w:hAnsi="仿宋" w:eastAsia="仿宋"/>
          <w:color w:val="auto"/>
          <w:sz w:val="32"/>
          <w:szCs w:val="32"/>
          <w:lang w:val="en-US" w:eastAsia="zh-CN"/>
        </w:rPr>
        <w:t>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第</w:t>
      </w:r>
      <w:r>
        <w:rPr>
          <w:rFonts w:hint="eastAsia" w:ascii="仿宋" w:hAnsi="仿宋" w:eastAsia="仿宋"/>
          <w:color w:val="auto"/>
          <w:sz w:val="32"/>
          <w:szCs w:val="32"/>
        </w:rPr>
        <w:t>123</w:t>
      </w:r>
      <w:r>
        <w:rPr>
          <w:rFonts w:hint="eastAsia" w:ascii="仿宋" w:hAnsi="仿宋" w:eastAsia="仿宋"/>
          <w:color w:val="auto"/>
          <w:sz w:val="32"/>
          <w:szCs w:val="32"/>
          <w:lang w:val="en-US" w:eastAsia="zh-CN"/>
        </w:rPr>
        <w:t>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第</w:t>
      </w:r>
      <w:r>
        <w:rPr>
          <w:rFonts w:hint="eastAsia" w:ascii="仿宋" w:hAnsi="仿宋" w:eastAsia="仿宋"/>
          <w:color w:val="auto"/>
          <w:sz w:val="32"/>
          <w:szCs w:val="32"/>
        </w:rPr>
        <w:t>124</w:t>
      </w:r>
      <w:r>
        <w:rPr>
          <w:rFonts w:hint="eastAsia" w:ascii="仿宋" w:hAnsi="仿宋" w:eastAsia="仿宋"/>
          <w:color w:val="auto"/>
          <w:sz w:val="32"/>
          <w:szCs w:val="32"/>
          <w:lang w:val="en-US" w:eastAsia="zh-CN"/>
        </w:rPr>
        <w:t>条</w:t>
      </w:r>
      <w:r>
        <w:rPr>
          <w:rFonts w:hint="eastAsia" w:ascii="仿宋" w:hAnsi="仿宋" w:eastAsia="仿宋"/>
          <w:color w:val="auto"/>
          <w:sz w:val="32"/>
          <w:szCs w:val="32"/>
        </w:rPr>
        <w:t>、125</w:t>
      </w:r>
      <w:r>
        <w:rPr>
          <w:rFonts w:hint="eastAsia" w:ascii="仿宋" w:hAnsi="仿宋" w:eastAsia="仿宋"/>
          <w:color w:val="auto"/>
          <w:sz w:val="32"/>
          <w:szCs w:val="32"/>
          <w:lang w:val="en-US" w:eastAsia="zh-CN"/>
        </w:rPr>
        <w:t>条</w:t>
      </w:r>
      <w:r>
        <w:rPr>
          <w:rFonts w:hint="eastAsia" w:ascii="仿宋" w:hAnsi="仿宋" w:eastAsia="仿宋"/>
          <w:color w:val="auto"/>
          <w:sz w:val="32"/>
          <w:szCs w:val="32"/>
        </w:rPr>
        <w:t>、126</w:t>
      </w:r>
      <w:r>
        <w:rPr>
          <w:rFonts w:hint="eastAsia" w:ascii="仿宋" w:hAnsi="仿宋" w:eastAsia="仿宋"/>
          <w:color w:val="auto"/>
          <w:sz w:val="32"/>
          <w:szCs w:val="32"/>
          <w:lang w:val="en-US" w:eastAsia="zh-CN"/>
        </w:rPr>
        <w:t>条</w:t>
      </w:r>
      <w:r>
        <w:rPr>
          <w:rFonts w:hint="eastAsia" w:ascii="仿宋" w:hAnsi="仿宋" w:eastAsia="仿宋"/>
          <w:color w:val="auto"/>
          <w:sz w:val="32"/>
          <w:szCs w:val="32"/>
        </w:rPr>
        <w:t>、141条</w:t>
      </w:r>
      <w:r>
        <w:rPr>
          <w:rFonts w:hint="eastAsia" w:ascii="仿宋" w:hAnsi="仿宋" w:eastAsia="仿宋" w:cs="宋体"/>
          <w:color w:val="auto"/>
          <w:kern w:val="0"/>
          <w:sz w:val="32"/>
          <w:szCs w:val="32"/>
        </w:rPr>
        <w:t>及</w:t>
      </w:r>
      <w:r>
        <w:rPr>
          <w:rFonts w:hint="eastAsia" w:ascii="仿宋" w:hAnsi="仿宋" w:eastAsia="仿宋"/>
          <w:color w:val="auto"/>
          <w:sz w:val="32"/>
          <w:szCs w:val="32"/>
        </w:rPr>
        <w:t>相关法律法规禁止从业规定的情形。</w:t>
      </w:r>
    </w:p>
    <w:p>
      <w:pPr>
        <w:snapToGrid w:val="0"/>
        <w:spacing w:line="640" w:lineRule="exact"/>
        <w:ind w:firstLine="640" w:firstLineChars="200"/>
        <w:rPr>
          <w:rFonts w:hint="eastAsia" w:ascii="仿宋" w:hAnsi="仿宋" w:eastAsia="仿宋"/>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rPr>
        <w:t>条</w:t>
      </w:r>
      <w:r>
        <w:rPr>
          <w:rFonts w:hint="eastAsia" w:ascii="仿宋" w:hAnsi="仿宋" w:eastAsia="仿宋"/>
          <w:color w:val="auto"/>
          <w:sz w:val="32"/>
          <w:szCs w:val="32"/>
        </w:rPr>
        <w:t xml:space="preserve"> </w:t>
      </w:r>
      <w:r>
        <w:rPr>
          <w:rFonts w:hint="eastAsia" w:ascii="仿宋" w:hAnsi="仿宋" w:eastAsia="仿宋" w:cs="宋体"/>
          <w:color w:val="auto"/>
          <w:kern w:val="0"/>
          <w:sz w:val="32"/>
          <w:szCs w:val="32"/>
        </w:rPr>
        <w:t>企业负责人是企业药品质量的主要责任人。</w:t>
      </w:r>
      <w:r>
        <w:rPr>
          <w:rFonts w:hint="eastAsia" w:ascii="仿宋" w:hAnsi="仿宋" w:eastAsia="仿宋"/>
          <w:color w:val="auto"/>
          <w:sz w:val="32"/>
          <w:szCs w:val="32"/>
        </w:rPr>
        <w:t>企业法定代表人或企业负责人应具备执业药师资格。</w:t>
      </w:r>
    </w:p>
    <w:p>
      <w:pPr>
        <w:snapToGrid w:val="0"/>
        <w:spacing w:line="640" w:lineRule="exact"/>
        <w:ind w:firstLine="645"/>
        <w:rPr>
          <w:rFonts w:hint="eastAsia" w:ascii="仿宋" w:hAnsi="仿宋" w:eastAsia="仿宋" w:cs="宋体"/>
          <w:color w:val="auto"/>
          <w:kern w:val="0"/>
          <w:sz w:val="32"/>
          <w:szCs w:val="32"/>
        </w:rPr>
      </w:pPr>
      <w:r>
        <w:rPr>
          <w:rFonts w:hint="eastAsia" w:ascii="楷体" w:hAnsi="楷体" w:eastAsia="楷体" w:cs="楷体"/>
          <w:color w:val="auto"/>
          <w:kern w:val="0"/>
          <w:sz w:val="32"/>
          <w:szCs w:val="32"/>
        </w:rPr>
        <w:t>第</w:t>
      </w:r>
      <w:r>
        <w:rPr>
          <w:rFonts w:hint="eastAsia" w:ascii="楷体" w:hAnsi="楷体" w:eastAsia="楷体" w:cs="楷体"/>
          <w:color w:val="auto"/>
          <w:kern w:val="0"/>
          <w:sz w:val="32"/>
          <w:szCs w:val="32"/>
          <w:lang w:val="en-US" w:eastAsia="zh-CN"/>
        </w:rPr>
        <w:t>六</w:t>
      </w:r>
      <w:r>
        <w:rPr>
          <w:rFonts w:hint="eastAsia" w:ascii="楷体" w:hAnsi="楷体" w:eastAsia="楷体" w:cs="楷体"/>
          <w:color w:val="auto"/>
          <w:kern w:val="0"/>
          <w:sz w:val="32"/>
          <w:szCs w:val="32"/>
        </w:rPr>
        <w:t>条</w:t>
      </w:r>
      <w:r>
        <w:rPr>
          <w:rFonts w:hint="eastAsia" w:ascii="仿宋" w:hAnsi="仿宋" w:eastAsia="仿宋" w:cs="宋体"/>
          <w:color w:val="auto"/>
          <w:kern w:val="0"/>
          <w:sz w:val="32"/>
          <w:szCs w:val="32"/>
        </w:rPr>
        <w:t xml:space="preserve"> 企业应设置与其经营范围及经营规模相适应的质量管理部门，根据企业性质设置质量管理部门或配备质量管理人员，</w:t>
      </w:r>
      <w:r>
        <w:rPr>
          <w:rFonts w:hint="eastAsia" w:ascii="仿宋" w:hAnsi="仿宋" w:eastAsia="仿宋"/>
          <w:color w:val="auto"/>
          <w:sz w:val="32"/>
          <w:szCs w:val="32"/>
        </w:rPr>
        <w:t>履行《药品经营质量管理规范》规定的药品质量管理职责。</w:t>
      </w:r>
    </w:p>
    <w:p>
      <w:pPr>
        <w:snapToGrid w:val="0"/>
        <w:spacing w:line="640" w:lineRule="exact"/>
        <w:ind w:firstLine="640" w:firstLineChars="200"/>
        <w:rPr>
          <w:rFonts w:hint="eastAsia" w:ascii="仿宋" w:hAnsi="仿宋" w:eastAsia="仿宋"/>
          <w:color w:val="auto"/>
          <w:sz w:val="32"/>
          <w:szCs w:val="32"/>
        </w:rPr>
      </w:pPr>
      <w:r>
        <w:rPr>
          <w:rFonts w:hint="eastAsia" w:ascii="楷体" w:hAnsi="楷体" w:eastAsia="楷体" w:cs="楷体"/>
          <w:color w:val="auto"/>
          <w:kern w:val="0"/>
          <w:sz w:val="32"/>
          <w:szCs w:val="32"/>
        </w:rPr>
        <w:t>第</w:t>
      </w:r>
      <w:r>
        <w:rPr>
          <w:rFonts w:hint="eastAsia" w:ascii="楷体" w:hAnsi="楷体" w:eastAsia="楷体" w:cs="楷体"/>
          <w:color w:val="auto"/>
          <w:kern w:val="0"/>
          <w:sz w:val="32"/>
          <w:szCs w:val="32"/>
          <w:lang w:val="en-US" w:eastAsia="zh-CN"/>
        </w:rPr>
        <w:t>七</w:t>
      </w:r>
      <w:r>
        <w:rPr>
          <w:rFonts w:hint="eastAsia" w:ascii="楷体" w:hAnsi="楷体" w:eastAsia="楷体" w:cs="楷体"/>
          <w:color w:val="auto"/>
          <w:kern w:val="0"/>
          <w:sz w:val="32"/>
          <w:szCs w:val="32"/>
        </w:rPr>
        <w:t>条</w:t>
      </w:r>
      <w:r>
        <w:rPr>
          <w:rFonts w:hint="eastAsia" w:ascii="仿宋" w:hAnsi="仿宋" w:eastAsia="仿宋" w:cs="宋体"/>
          <w:color w:val="auto"/>
          <w:kern w:val="0"/>
          <w:sz w:val="32"/>
          <w:szCs w:val="32"/>
        </w:rPr>
        <w:t xml:space="preserve"> </w:t>
      </w:r>
      <w:r>
        <w:rPr>
          <w:rFonts w:hint="eastAsia" w:ascii="仿宋" w:hAnsi="仿宋" w:eastAsia="仿宋"/>
          <w:color w:val="auto"/>
          <w:sz w:val="32"/>
          <w:szCs w:val="32"/>
        </w:rPr>
        <w:t>企业应配备</w:t>
      </w:r>
      <w:r>
        <w:rPr>
          <w:rFonts w:hint="eastAsia" w:ascii="仿宋" w:hAnsi="仿宋" w:eastAsia="仿宋" w:cs="宋体"/>
          <w:color w:val="auto"/>
          <w:kern w:val="0"/>
          <w:sz w:val="32"/>
          <w:szCs w:val="32"/>
          <w:lang w:val="en-US" w:eastAsia="zh-CN"/>
        </w:rPr>
        <w:t>一定数量</w:t>
      </w:r>
      <w:r>
        <w:rPr>
          <w:rFonts w:hint="eastAsia" w:ascii="仿宋" w:hAnsi="仿宋" w:eastAsia="仿宋" w:cs="宋体"/>
          <w:color w:val="auto"/>
          <w:kern w:val="0"/>
          <w:sz w:val="32"/>
          <w:szCs w:val="32"/>
        </w:rPr>
        <w:t>、</w:t>
      </w:r>
      <w:r>
        <w:rPr>
          <w:rFonts w:hint="eastAsia" w:ascii="仿宋" w:hAnsi="仿宋" w:eastAsia="仿宋"/>
          <w:color w:val="auto"/>
          <w:sz w:val="32"/>
          <w:szCs w:val="32"/>
        </w:rPr>
        <w:t>与经营范围和经营规模及</w:t>
      </w:r>
      <w:r>
        <w:rPr>
          <w:rFonts w:hint="eastAsia" w:ascii="仿宋" w:hAnsi="仿宋" w:eastAsia="仿宋" w:cs="宋体"/>
          <w:color w:val="auto"/>
          <w:kern w:val="0"/>
          <w:sz w:val="32"/>
          <w:szCs w:val="32"/>
        </w:rPr>
        <w:t>岗位职能</w:t>
      </w:r>
      <w:r>
        <w:rPr>
          <w:rFonts w:hint="eastAsia" w:ascii="仿宋" w:hAnsi="仿宋" w:eastAsia="仿宋"/>
          <w:color w:val="auto"/>
          <w:sz w:val="32"/>
          <w:szCs w:val="32"/>
        </w:rPr>
        <w:t>相适应的</w:t>
      </w:r>
      <w:r>
        <w:rPr>
          <w:rFonts w:hint="eastAsia" w:ascii="仿宋" w:hAnsi="仿宋" w:eastAsia="仿宋" w:cs="仿宋"/>
          <w:color w:val="auto"/>
          <w:kern w:val="0"/>
          <w:sz w:val="32"/>
          <w:szCs w:val="32"/>
          <w:lang w:val="en-US" w:eastAsia="zh-CN"/>
        </w:rPr>
        <w:t>执业药师</w:t>
      </w:r>
      <w:r>
        <w:rPr>
          <w:rFonts w:hint="eastAsia" w:ascii="仿宋" w:hAnsi="仿宋" w:eastAsia="仿宋"/>
          <w:color w:val="auto"/>
          <w:sz w:val="32"/>
          <w:szCs w:val="32"/>
          <w:lang w:val="en-US" w:eastAsia="zh-CN"/>
        </w:rPr>
        <w:t>和</w:t>
      </w:r>
      <w:r>
        <w:rPr>
          <w:rFonts w:hint="eastAsia" w:ascii="仿宋" w:hAnsi="仿宋" w:eastAsia="仿宋" w:cs="仿宋"/>
          <w:color w:val="auto"/>
          <w:kern w:val="0"/>
          <w:sz w:val="32"/>
          <w:szCs w:val="32"/>
          <w:lang w:val="en-US" w:eastAsia="zh-CN"/>
        </w:rPr>
        <w:t>其他</w:t>
      </w:r>
      <w:r>
        <w:rPr>
          <w:rFonts w:hint="eastAsia" w:ascii="仿宋" w:hAnsi="仿宋" w:eastAsia="仿宋"/>
          <w:color w:val="auto"/>
          <w:sz w:val="32"/>
          <w:szCs w:val="32"/>
        </w:rPr>
        <w:t>药学技术人员，从事质量管理、药学服务及处方审核等工作。</w:t>
      </w:r>
    </w:p>
    <w:p>
      <w:pPr>
        <w:widowControl/>
        <w:snapToGrid/>
        <w:spacing w:line="56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lang w:eastAsia="zh-CN"/>
        </w:rPr>
        <w:t>）</w:t>
      </w:r>
      <w:r>
        <w:rPr>
          <w:rFonts w:hint="eastAsia" w:ascii="仿宋" w:hAnsi="仿宋" w:eastAsia="仿宋" w:cs="Times New Roman"/>
          <w:color w:val="auto"/>
          <w:kern w:val="2"/>
          <w:sz w:val="32"/>
          <w:szCs w:val="32"/>
        </w:rPr>
        <w:t>企业</w:t>
      </w:r>
      <w:r>
        <w:rPr>
          <w:rFonts w:hint="eastAsia" w:ascii="仿宋" w:hAnsi="仿宋" w:eastAsia="仿宋"/>
          <w:color w:val="auto"/>
          <w:sz w:val="32"/>
          <w:szCs w:val="32"/>
          <w:lang w:val="en-US" w:eastAsia="zh-CN"/>
        </w:rPr>
        <w:t>申请</w:t>
      </w:r>
      <w:r>
        <w:rPr>
          <w:rFonts w:hint="eastAsia" w:ascii="仿宋" w:hAnsi="仿宋" w:eastAsia="仿宋" w:cs="Times New Roman"/>
          <w:color w:val="auto"/>
          <w:sz w:val="32"/>
          <w:szCs w:val="32"/>
        </w:rPr>
        <w:t>只经营乙类非处方药</w:t>
      </w:r>
      <w:r>
        <w:rPr>
          <w:rFonts w:hint="eastAsia" w:ascii="仿宋" w:hAnsi="仿宋" w:eastAsia="仿宋" w:cs="Times New Roman"/>
          <w:color w:val="auto"/>
          <w:sz w:val="32"/>
          <w:szCs w:val="32"/>
          <w:lang w:val="en-US" w:eastAsia="zh-CN"/>
        </w:rPr>
        <w:t>的，</w:t>
      </w:r>
      <w:r>
        <w:rPr>
          <w:rFonts w:hint="eastAsia" w:ascii="仿宋" w:hAnsi="仿宋" w:eastAsia="仿宋" w:cs="Times New Roman"/>
          <w:i w:val="0"/>
          <w:caps w:val="0"/>
          <w:color w:val="auto"/>
          <w:spacing w:val="0"/>
          <w:sz w:val="32"/>
          <w:szCs w:val="32"/>
          <w:shd w:val="clear" w:fill="auto"/>
        </w:rPr>
        <w:t>至少应当配备经过药品监督管理部门组织考核合格的人员。</w:t>
      </w:r>
    </w:p>
    <w:p>
      <w:pPr>
        <w:widowControl/>
        <w:snapToGrid/>
        <w:spacing w:line="56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w:t>
      </w:r>
      <w:r>
        <w:rPr>
          <w:rFonts w:hint="eastAsia" w:ascii="仿宋" w:hAnsi="仿宋" w:eastAsia="仿宋"/>
          <w:color w:val="auto"/>
          <w:sz w:val="32"/>
          <w:szCs w:val="32"/>
          <w:lang w:val="en-US" w:eastAsia="zh-CN"/>
        </w:rPr>
        <w:t>企</w:t>
      </w:r>
      <w:r>
        <w:rPr>
          <w:rFonts w:hint="eastAsia" w:ascii="仿宋" w:hAnsi="仿宋" w:eastAsia="仿宋" w:cs="仿宋"/>
          <w:color w:val="auto"/>
          <w:kern w:val="0"/>
          <w:sz w:val="32"/>
          <w:szCs w:val="32"/>
        </w:rPr>
        <w:t>业申请经营</w:t>
      </w:r>
      <w:r>
        <w:rPr>
          <w:rFonts w:hint="eastAsia" w:ascii="仿宋" w:hAnsi="仿宋" w:eastAsia="仿宋" w:cs="仿宋"/>
          <w:color w:val="auto"/>
          <w:kern w:val="0"/>
          <w:sz w:val="32"/>
          <w:szCs w:val="32"/>
          <w:lang w:eastAsia="zh-CN"/>
        </w:rPr>
        <w:t>甲类非处方药、</w:t>
      </w:r>
      <w:r>
        <w:rPr>
          <w:rFonts w:hint="eastAsia" w:ascii="仿宋" w:hAnsi="仿宋" w:eastAsia="仿宋" w:cs="仿宋"/>
          <w:color w:val="auto"/>
          <w:kern w:val="0"/>
          <w:sz w:val="32"/>
          <w:szCs w:val="32"/>
        </w:rPr>
        <w:t>处方药</w:t>
      </w:r>
      <w:r>
        <w:rPr>
          <w:rFonts w:hint="eastAsia" w:ascii="仿宋" w:hAnsi="仿宋" w:eastAsia="仿宋" w:cs="仿宋"/>
          <w:color w:val="auto"/>
          <w:kern w:val="0"/>
          <w:sz w:val="32"/>
          <w:szCs w:val="32"/>
          <w:lang w:val="en-US" w:eastAsia="zh-CN"/>
        </w:rPr>
        <w:t>的</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应当</w:t>
      </w:r>
      <w:r>
        <w:rPr>
          <w:rFonts w:hint="eastAsia" w:ascii="仿宋" w:hAnsi="仿宋" w:eastAsia="仿宋" w:cs="仿宋"/>
          <w:color w:val="auto"/>
          <w:kern w:val="0"/>
          <w:sz w:val="32"/>
          <w:szCs w:val="32"/>
          <w:lang w:eastAsia="zh-CN"/>
        </w:rPr>
        <w:t>至少</w:t>
      </w:r>
      <w:r>
        <w:rPr>
          <w:rFonts w:hint="eastAsia" w:ascii="仿宋" w:hAnsi="仿宋" w:eastAsia="仿宋" w:cs="仿宋"/>
          <w:color w:val="auto"/>
          <w:kern w:val="0"/>
          <w:sz w:val="32"/>
          <w:szCs w:val="32"/>
        </w:rPr>
        <w:t>配备</w:t>
      </w:r>
      <w:r>
        <w:rPr>
          <w:rFonts w:hint="eastAsia" w:ascii="仿宋" w:hAnsi="仿宋" w:eastAsia="仿宋" w:cs="仿宋"/>
          <w:color w:val="auto"/>
          <w:kern w:val="0"/>
          <w:sz w:val="32"/>
          <w:szCs w:val="32"/>
          <w:lang w:val="en-US" w:eastAsia="zh-CN"/>
        </w:rPr>
        <w:t>1名</w:t>
      </w:r>
      <w:r>
        <w:rPr>
          <w:rFonts w:hint="eastAsia" w:ascii="仿宋" w:hAnsi="仿宋" w:eastAsia="仿宋" w:cs="仿宋"/>
          <w:color w:val="auto"/>
          <w:kern w:val="0"/>
          <w:sz w:val="32"/>
          <w:szCs w:val="32"/>
        </w:rPr>
        <w:t>执业药师</w:t>
      </w:r>
      <w:r>
        <w:rPr>
          <w:rFonts w:hint="eastAsia" w:ascii="仿宋" w:hAnsi="仿宋" w:eastAsia="仿宋" w:cs="仿宋"/>
          <w:color w:val="auto"/>
          <w:kern w:val="0"/>
          <w:sz w:val="32"/>
          <w:szCs w:val="32"/>
          <w:lang w:val="en-US" w:eastAsia="zh-CN"/>
        </w:rPr>
        <w:t>。</w:t>
      </w:r>
    </w:p>
    <w:p>
      <w:pPr>
        <w:widowControl/>
        <w:snapToGrid/>
        <w:spacing w:line="56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仿宋"/>
          <w:color w:val="auto"/>
          <w:kern w:val="0"/>
          <w:sz w:val="32"/>
          <w:szCs w:val="32"/>
          <w:lang w:val="en-US" w:eastAsia="zh-CN"/>
        </w:rPr>
        <w:t>（三）企业申请的经营范围包含“中药饮片”的，应当配备1名执业药师（中药学）或者</w:t>
      </w:r>
      <w:r>
        <w:rPr>
          <w:rFonts w:hint="eastAsia" w:ascii="仿宋" w:hAnsi="仿宋" w:eastAsia="仿宋" w:cs="宋体"/>
          <w:color w:val="auto"/>
          <w:kern w:val="0"/>
          <w:sz w:val="32"/>
          <w:szCs w:val="32"/>
        </w:rPr>
        <w:t>具有中药学专业初级</w:t>
      </w:r>
      <w:r>
        <w:rPr>
          <w:rFonts w:hint="eastAsia" w:ascii="仿宋" w:hAnsi="仿宋" w:eastAsia="仿宋" w:cs="宋体"/>
          <w:color w:val="auto"/>
          <w:kern w:val="0"/>
          <w:sz w:val="32"/>
          <w:szCs w:val="32"/>
          <w:lang w:val="en-US" w:eastAsia="zh-CN"/>
        </w:rPr>
        <w:t>及</w:t>
      </w:r>
      <w:r>
        <w:rPr>
          <w:rFonts w:hint="eastAsia" w:ascii="仿宋" w:hAnsi="仿宋" w:eastAsia="仿宋" w:cs="宋体"/>
          <w:color w:val="auto"/>
          <w:kern w:val="0"/>
          <w:sz w:val="32"/>
          <w:szCs w:val="32"/>
        </w:rPr>
        <w:t>以上专业技术职称</w:t>
      </w:r>
      <w:r>
        <w:rPr>
          <w:rFonts w:hint="eastAsia" w:ascii="仿宋" w:hAnsi="仿宋" w:eastAsia="仿宋" w:cs="宋体"/>
          <w:color w:val="auto"/>
          <w:kern w:val="0"/>
          <w:sz w:val="32"/>
          <w:szCs w:val="32"/>
          <w:lang w:val="en-US" w:eastAsia="zh-CN"/>
        </w:rPr>
        <w:t>的药学技术人员。</w:t>
      </w:r>
    </w:p>
    <w:p>
      <w:pPr>
        <w:widowControl/>
        <w:snapToGrid/>
        <w:spacing w:line="56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（四）药品零售连锁企业开展远程审方药学服务的，其总部应当建立与其经营规模、审方数量相适应的远程审方体系，原则上按照每增加300张处方至少增加1名执业药师的配比，配备若干执业药师</w:t>
      </w:r>
      <w:bookmarkStart w:id="0" w:name="_GoBack"/>
      <w:bookmarkEnd w:id="0"/>
      <w:r>
        <w:rPr>
          <w:rFonts w:hint="eastAsia" w:ascii="仿宋" w:hAnsi="仿宋" w:eastAsia="仿宋" w:cs="仿宋"/>
          <w:color w:val="auto"/>
          <w:kern w:val="0"/>
          <w:sz w:val="32"/>
          <w:szCs w:val="32"/>
          <w:lang w:val="en-US" w:eastAsia="zh-CN"/>
        </w:rPr>
        <w:t>开展集中审核处方；其所属经营处方药、中药饮片的连锁门店，应至少现场配备1名执业药师（药学或中药学）负责处方复核、指导合理用药。</w:t>
      </w:r>
    </w:p>
    <w:p>
      <w:pPr>
        <w:widowControl/>
        <w:snapToGrid/>
        <w:spacing w:line="56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在执业药师存在明显缺口的偏远农村地区，经营处方药、中药饮片的药品零售企业，允许</w:t>
      </w:r>
      <w:r>
        <w:rPr>
          <w:rFonts w:hint="eastAsia" w:ascii="仿宋" w:hAnsi="仿宋" w:eastAsia="仿宋" w:cs="仿宋"/>
          <w:color w:val="auto"/>
          <w:kern w:val="0"/>
          <w:sz w:val="32"/>
          <w:szCs w:val="32"/>
          <w:lang w:val="en-US" w:eastAsia="zh-CN"/>
        </w:rPr>
        <w:t>过渡期内</w:t>
      </w:r>
      <w:r>
        <w:rPr>
          <w:rFonts w:hint="eastAsia" w:ascii="仿宋" w:hAnsi="仿宋" w:eastAsia="仿宋" w:cs="仿宋"/>
          <w:color w:val="auto"/>
          <w:kern w:val="0"/>
          <w:sz w:val="32"/>
          <w:szCs w:val="32"/>
        </w:rPr>
        <w:t>配备使用其他药学技术人员承担执业药师职责。</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六</w:t>
      </w:r>
      <w:r>
        <w:rPr>
          <w:rFonts w:hint="eastAsia" w:ascii="仿宋" w:hAnsi="仿宋" w:eastAsia="仿宋" w:cs="宋体"/>
          <w:color w:val="auto"/>
          <w:kern w:val="0"/>
          <w:sz w:val="32"/>
          <w:szCs w:val="32"/>
        </w:rPr>
        <w:t>）质量管理、验收、采购人员应当具有药学或者医学、生物、化学等相关专业中专以上学历或者具有药学专业初级以上专业技术职称。</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七</w:t>
      </w:r>
      <w:r>
        <w:rPr>
          <w:rFonts w:hint="eastAsia" w:ascii="仿宋" w:hAnsi="仿宋" w:eastAsia="仿宋" w:cs="宋体"/>
          <w:color w:val="auto"/>
          <w:kern w:val="0"/>
          <w:sz w:val="32"/>
          <w:szCs w:val="32"/>
        </w:rPr>
        <w:t>）从事中药饮片质量管理、验收、采购人员应当具有中药学中专以上学历或者具有中药学专业初级</w:t>
      </w:r>
      <w:r>
        <w:rPr>
          <w:rFonts w:hint="eastAsia" w:ascii="仿宋" w:hAnsi="仿宋" w:eastAsia="仿宋" w:cs="宋体"/>
          <w:color w:val="auto"/>
          <w:kern w:val="0"/>
          <w:sz w:val="32"/>
          <w:szCs w:val="32"/>
          <w:lang w:val="en-US" w:eastAsia="zh-CN"/>
        </w:rPr>
        <w:t>及</w:t>
      </w:r>
      <w:r>
        <w:rPr>
          <w:rFonts w:hint="eastAsia" w:ascii="仿宋" w:hAnsi="仿宋" w:eastAsia="仿宋" w:cs="宋体"/>
          <w:color w:val="auto"/>
          <w:kern w:val="0"/>
          <w:sz w:val="32"/>
          <w:szCs w:val="32"/>
        </w:rPr>
        <w:t>以上专业技术职称。</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八</w:t>
      </w:r>
      <w:r>
        <w:rPr>
          <w:rFonts w:hint="eastAsia" w:ascii="仿宋" w:hAnsi="仿宋" w:eastAsia="仿宋" w:cs="宋体"/>
          <w:color w:val="auto"/>
          <w:kern w:val="0"/>
          <w:sz w:val="32"/>
          <w:szCs w:val="32"/>
        </w:rPr>
        <w:t>）中药饮片调剂人员应当具有中药学中专以上学历</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或者</w:t>
      </w:r>
      <w:r>
        <w:rPr>
          <w:rFonts w:hint="eastAsia" w:ascii="仿宋" w:hAnsi="仿宋" w:eastAsia="仿宋" w:cs="宋体"/>
          <w:color w:val="auto"/>
          <w:kern w:val="0"/>
          <w:sz w:val="32"/>
          <w:szCs w:val="32"/>
        </w:rPr>
        <w:t>具有中药学专业初级</w:t>
      </w:r>
      <w:r>
        <w:rPr>
          <w:rFonts w:hint="eastAsia" w:ascii="仿宋" w:hAnsi="仿宋" w:eastAsia="仿宋" w:cs="宋体"/>
          <w:color w:val="auto"/>
          <w:kern w:val="0"/>
          <w:sz w:val="32"/>
          <w:szCs w:val="32"/>
          <w:lang w:val="en-US" w:eastAsia="zh-CN"/>
        </w:rPr>
        <w:t>及</w:t>
      </w:r>
      <w:r>
        <w:rPr>
          <w:rFonts w:hint="eastAsia" w:ascii="仿宋" w:hAnsi="仿宋" w:eastAsia="仿宋" w:cs="宋体"/>
          <w:color w:val="auto"/>
          <w:kern w:val="0"/>
          <w:sz w:val="32"/>
          <w:szCs w:val="32"/>
        </w:rPr>
        <w:t>以上专业技术职称</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或者具备中药调剂员资格。</w:t>
      </w:r>
    </w:p>
    <w:p>
      <w:pPr>
        <w:snapToGrid w:val="0"/>
        <w:spacing w:line="640" w:lineRule="exact"/>
        <w:ind w:firstLine="640" w:firstLineChars="200"/>
        <w:rPr>
          <w:rFonts w:hint="eastAsia" w:ascii="仿宋" w:hAnsi="仿宋" w:eastAsia="仿宋" w:cs="仿宋"/>
          <w:color w:val="auto"/>
          <w:sz w:val="32"/>
          <w:szCs w:val="32"/>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八</w:t>
      </w:r>
      <w:r>
        <w:rPr>
          <w:rFonts w:hint="eastAsia" w:ascii="楷体" w:hAnsi="楷体" w:eastAsia="楷体" w:cs="楷体"/>
          <w:color w:val="auto"/>
          <w:sz w:val="32"/>
          <w:szCs w:val="32"/>
        </w:rPr>
        <w:t>条</w:t>
      </w:r>
      <w:r>
        <w:rPr>
          <w:rFonts w:hint="eastAsia" w:ascii="仿宋" w:hAnsi="仿宋" w:eastAsia="仿宋"/>
          <w:color w:val="auto"/>
          <w:sz w:val="32"/>
          <w:szCs w:val="32"/>
        </w:rPr>
        <w:t xml:space="preserve"> </w:t>
      </w:r>
      <w:r>
        <w:rPr>
          <w:rFonts w:hint="eastAsia" w:ascii="仿宋" w:hAnsi="仿宋" w:eastAsia="仿宋" w:cs="仿宋"/>
          <w:color w:val="auto"/>
          <w:kern w:val="0"/>
          <w:sz w:val="32"/>
          <w:szCs w:val="32"/>
        </w:rPr>
        <w:t>执业药师</w:t>
      </w:r>
      <w:r>
        <w:rPr>
          <w:rFonts w:hint="eastAsia" w:ascii="仿宋" w:hAnsi="仿宋" w:eastAsia="仿宋" w:cs="仿宋"/>
          <w:color w:val="auto"/>
          <w:kern w:val="0"/>
          <w:sz w:val="32"/>
          <w:szCs w:val="32"/>
          <w:lang w:val="en-US" w:eastAsia="zh-CN"/>
        </w:rPr>
        <w:t>应尽职履责、切实发挥执业药师作用。</w:t>
      </w:r>
      <w:r>
        <w:rPr>
          <w:rFonts w:hint="eastAsia" w:ascii="仿宋" w:hAnsi="仿宋" w:eastAsia="仿宋" w:cs="仿宋"/>
          <w:color w:val="auto"/>
          <w:sz w:val="32"/>
          <w:szCs w:val="32"/>
          <w:lang w:eastAsia="zh-CN"/>
        </w:rPr>
        <w:t>执业药师</w:t>
      </w:r>
      <w:r>
        <w:rPr>
          <w:rFonts w:hint="eastAsia" w:ascii="仿宋" w:hAnsi="仿宋" w:eastAsia="仿宋" w:cs="仿宋"/>
          <w:color w:val="auto"/>
          <w:kern w:val="0"/>
          <w:sz w:val="32"/>
          <w:szCs w:val="32"/>
          <w:lang w:val="en-US" w:eastAsia="zh-CN"/>
        </w:rPr>
        <w:t>应当</w:t>
      </w:r>
      <w:r>
        <w:rPr>
          <w:rFonts w:hint="eastAsia" w:ascii="仿宋" w:hAnsi="仿宋" w:eastAsia="仿宋" w:cs="仿宋"/>
          <w:i w:val="0"/>
          <w:caps w:val="0"/>
          <w:color w:val="auto"/>
          <w:spacing w:val="0"/>
          <w:sz w:val="32"/>
          <w:szCs w:val="32"/>
          <w:shd w:val="clear" w:fill="FFFFFF"/>
        </w:rPr>
        <w:t>负责本企业药品质量管理，督促执行药品管理相关的法律法规及规范；负责处方审核和监督调配，向公众提供合理用药指导和咨询服务；负责收集反馈药品不良反应信息等药学工作。</w:t>
      </w:r>
    </w:p>
    <w:p>
      <w:pPr>
        <w:snapToGrid w:val="0"/>
        <w:spacing w:line="640" w:lineRule="exact"/>
        <w:ind w:firstLine="645"/>
        <w:rPr>
          <w:rFonts w:hint="eastAsia" w:ascii="仿宋" w:hAnsi="仿宋" w:eastAsia="仿宋" w:cs="宋体"/>
          <w:color w:val="auto"/>
          <w:kern w:val="0"/>
          <w:sz w:val="32"/>
          <w:szCs w:val="32"/>
        </w:rPr>
      </w:pPr>
      <w:r>
        <w:rPr>
          <w:rFonts w:hint="eastAsia" w:ascii="楷体" w:hAnsi="楷体" w:eastAsia="楷体" w:cs="楷体"/>
          <w:color w:val="auto"/>
          <w:sz w:val="32"/>
          <w:szCs w:val="32"/>
          <w:lang w:eastAsia="zh-CN"/>
        </w:rPr>
        <w:t>第九条</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执业药师、</w:t>
      </w:r>
      <w:r>
        <w:rPr>
          <w:rFonts w:hint="eastAsia" w:ascii="仿宋" w:hAnsi="仿宋" w:eastAsia="仿宋" w:cs="宋体"/>
          <w:color w:val="auto"/>
          <w:kern w:val="0"/>
          <w:sz w:val="32"/>
          <w:szCs w:val="32"/>
        </w:rPr>
        <w:t>质量管理人员、药学服务人员等关键岗位人员应在职在岗，其岗位职责不得由其他岗位人员代为履行。</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执业药师在岗信息应在营业场所显著位置进行公示（至少包括姓名、执业注册证号及照片等），着装符合要求，佩戴执业药师标志牌</w:t>
      </w:r>
      <w:r>
        <w:rPr>
          <w:rFonts w:hint="eastAsia" w:ascii="仿宋" w:hAnsi="仿宋" w:eastAsia="仿宋" w:cs="宋体"/>
          <w:color w:val="auto"/>
          <w:kern w:val="0"/>
          <w:sz w:val="32"/>
          <w:szCs w:val="32"/>
          <w:lang w:val="en-US" w:eastAsia="zh-CN"/>
        </w:rPr>
        <w:t>,</w:t>
      </w:r>
      <w:r>
        <w:rPr>
          <w:rFonts w:hint="eastAsia" w:ascii="仿宋" w:hAnsi="仿宋" w:eastAsia="仿宋" w:cs="仿宋"/>
          <w:color w:val="auto"/>
          <w:kern w:val="0"/>
          <w:sz w:val="32"/>
          <w:szCs w:val="32"/>
          <w:lang w:val="en-US" w:eastAsia="zh-CN"/>
        </w:rPr>
        <w:t>不得无故脱岗或者“挂证”经营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w:t>
      </w:r>
    </w:p>
    <w:p>
      <w:pPr>
        <w:snapToGrid w:val="0"/>
        <w:spacing w:line="640" w:lineRule="exact"/>
        <w:ind w:firstLine="645"/>
        <w:rPr>
          <w:rFonts w:hint="eastAsia" w:ascii="仿宋" w:hAnsi="仿宋" w:eastAsia="仿宋" w:cs="宋体"/>
          <w:color w:val="auto"/>
          <w:kern w:val="0"/>
          <w:sz w:val="32"/>
          <w:szCs w:val="32"/>
        </w:rPr>
      </w:pPr>
      <w:r>
        <w:rPr>
          <w:rFonts w:hint="eastAsia" w:ascii="楷体" w:hAnsi="楷体" w:eastAsia="楷体" w:cs="楷体"/>
          <w:color w:val="auto"/>
          <w:kern w:val="0"/>
          <w:sz w:val="32"/>
          <w:szCs w:val="32"/>
        </w:rPr>
        <w:t>第</w:t>
      </w:r>
      <w:r>
        <w:rPr>
          <w:rFonts w:hint="eastAsia" w:ascii="楷体" w:hAnsi="楷体" w:eastAsia="楷体" w:cs="楷体"/>
          <w:color w:val="auto"/>
          <w:kern w:val="0"/>
          <w:sz w:val="32"/>
          <w:szCs w:val="32"/>
          <w:lang w:val="en-US" w:eastAsia="zh-CN"/>
        </w:rPr>
        <w:t>十</w:t>
      </w:r>
      <w:r>
        <w:rPr>
          <w:rFonts w:hint="eastAsia" w:ascii="楷体" w:hAnsi="楷体" w:eastAsia="楷体" w:cs="楷体"/>
          <w:color w:val="auto"/>
          <w:kern w:val="0"/>
          <w:sz w:val="32"/>
          <w:szCs w:val="32"/>
        </w:rPr>
        <w:t>条</w:t>
      </w:r>
      <w:r>
        <w:rPr>
          <w:rFonts w:hint="eastAsia" w:ascii="仿宋" w:hAnsi="仿宋" w:eastAsia="仿宋" w:cs="宋体"/>
          <w:color w:val="auto"/>
          <w:kern w:val="0"/>
          <w:sz w:val="32"/>
          <w:szCs w:val="32"/>
        </w:rPr>
        <w:t xml:space="preserve"> 企业应按规定配备相应的执业药师和</w:t>
      </w:r>
      <w:r>
        <w:rPr>
          <w:rFonts w:hint="eastAsia" w:ascii="仿宋" w:hAnsi="仿宋" w:eastAsia="仿宋" w:cs="仿宋"/>
          <w:color w:val="auto"/>
          <w:kern w:val="0"/>
          <w:sz w:val="32"/>
          <w:szCs w:val="32"/>
          <w:lang w:val="en-US" w:eastAsia="zh-CN"/>
        </w:rPr>
        <w:t>其他</w:t>
      </w:r>
      <w:r>
        <w:rPr>
          <w:rFonts w:hint="eastAsia" w:ascii="仿宋" w:hAnsi="仿宋" w:eastAsia="仿宋" w:cs="宋体"/>
          <w:color w:val="auto"/>
          <w:kern w:val="0"/>
          <w:sz w:val="32"/>
          <w:szCs w:val="32"/>
        </w:rPr>
        <w:t>药学技术人员，药品营业场所</w:t>
      </w:r>
      <w:r>
        <w:rPr>
          <w:rFonts w:hint="eastAsia" w:ascii="仿宋" w:hAnsi="仿宋" w:eastAsia="仿宋" w:cs="宋体"/>
          <w:color w:val="auto"/>
          <w:kern w:val="0"/>
          <w:sz w:val="32"/>
          <w:szCs w:val="32"/>
          <w:lang w:eastAsia="zh-CN"/>
        </w:rPr>
        <w:t>使用</w:t>
      </w:r>
      <w:r>
        <w:rPr>
          <w:rFonts w:hint="eastAsia" w:ascii="仿宋" w:hAnsi="仿宋" w:eastAsia="仿宋" w:cs="宋体"/>
          <w:color w:val="auto"/>
          <w:kern w:val="0"/>
          <w:sz w:val="32"/>
          <w:szCs w:val="32"/>
        </w:rPr>
        <w:t>面积每超出开办标准</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0</w:t>
      </w:r>
      <w:r>
        <w:rPr>
          <w:rFonts w:hint="eastAsia" w:ascii="仿宋" w:hAnsi="仿宋" w:eastAsia="仿宋" w:cs="宋体"/>
          <w:color w:val="auto"/>
          <w:kern w:val="0"/>
          <w:sz w:val="32"/>
          <w:szCs w:val="32"/>
        </w:rPr>
        <w:t>平方米，需增加1名执业药师</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药学或中药学</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w:t>
      </w:r>
    </w:p>
    <w:p>
      <w:pPr>
        <w:snapToGrid w:val="0"/>
        <w:spacing w:line="640" w:lineRule="exact"/>
        <w:ind w:firstLine="645"/>
        <w:rPr>
          <w:rFonts w:hint="eastAsia" w:ascii="仿宋" w:hAnsi="仿宋" w:eastAsia="仿宋" w:cs="宋体"/>
          <w:color w:val="auto"/>
          <w:kern w:val="0"/>
          <w:sz w:val="32"/>
          <w:szCs w:val="32"/>
        </w:rPr>
      </w:pPr>
      <w:r>
        <w:rPr>
          <w:rFonts w:hint="eastAsia" w:ascii="楷体" w:hAnsi="楷体" w:eastAsia="楷体" w:cs="楷体"/>
          <w:color w:val="auto"/>
          <w:kern w:val="0"/>
          <w:sz w:val="32"/>
          <w:szCs w:val="32"/>
        </w:rPr>
        <w:t>第十</w:t>
      </w:r>
      <w:r>
        <w:rPr>
          <w:rFonts w:hint="eastAsia" w:ascii="楷体" w:hAnsi="楷体" w:eastAsia="楷体" w:cs="楷体"/>
          <w:color w:val="auto"/>
          <w:kern w:val="0"/>
          <w:sz w:val="32"/>
          <w:szCs w:val="32"/>
          <w:lang w:eastAsia="zh-CN"/>
        </w:rPr>
        <w:t>一</w:t>
      </w:r>
      <w:r>
        <w:rPr>
          <w:rFonts w:hint="eastAsia" w:ascii="楷体" w:hAnsi="楷体" w:eastAsia="楷体" w:cs="楷体"/>
          <w:color w:val="auto"/>
          <w:kern w:val="0"/>
          <w:sz w:val="32"/>
          <w:szCs w:val="32"/>
        </w:rPr>
        <w:t>条</w:t>
      </w:r>
      <w:r>
        <w:rPr>
          <w:rFonts w:hint="eastAsia" w:ascii="仿宋" w:hAnsi="仿宋" w:eastAsia="仿宋" w:cs="宋体"/>
          <w:color w:val="auto"/>
          <w:kern w:val="0"/>
          <w:sz w:val="32"/>
          <w:szCs w:val="32"/>
        </w:rPr>
        <w:t xml:space="preserve"> 企业各岗位人员须经相应的法律法规和药品专业知识与技能的岗前培训和继续教育培训,掌握相关法律法规和专业知识，能正确理解并履行职责。</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第十</w:t>
      </w:r>
      <w:r>
        <w:rPr>
          <w:rFonts w:hint="eastAsia" w:ascii="仿宋" w:hAnsi="仿宋" w:eastAsia="楷体_GB2312"/>
          <w:bCs/>
          <w:color w:val="auto"/>
          <w:sz w:val="32"/>
          <w:lang w:val="en-US" w:eastAsia="zh-CN"/>
        </w:rPr>
        <w:t>二</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企业从事药品质量管理、验收、养护、保管人员以及营业员等直接接触药品岗位工作的人员应进行岗前健康检查，并建立健康档案。患有传染病或其他可能污染药品的疾病的人员，不得从事直接接触药品的工作。</w:t>
      </w:r>
    </w:p>
    <w:p>
      <w:pPr>
        <w:snapToGrid w:val="0"/>
        <w:spacing w:line="640" w:lineRule="exact"/>
        <w:jc w:val="center"/>
        <w:rPr>
          <w:rFonts w:hint="eastAsia" w:ascii="黑体" w:hAnsi="黑体" w:eastAsia="黑体" w:cs="宋体"/>
          <w:color w:val="auto"/>
          <w:kern w:val="0"/>
          <w:sz w:val="32"/>
          <w:szCs w:val="32"/>
        </w:rPr>
      </w:pPr>
    </w:p>
    <w:p>
      <w:pPr>
        <w:snapToGrid w:val="0"/>
        <w:spacing w:line="640" w:lineRule="exact"/>
        <w:jc w:val="center"/>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rPr>
        <w:t>章 设施设备</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第十</w:t>
      </w:r>
      <w:r>
        <w:rPr>
          <w:rFonts w:hint="eastAsia" w:ascii="仿宋" w:hAnsi="仿宋" w:eastAsia="楷体_GB2312"/>
          <w:bCs/>
          <w:color w:val="auto"/>
          <w:sz w:val="32"/>
          <w:lang w:val="en-US" w:eastAsia="zh-CN"/>
        </w:rPr>
        <w:t>三</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企业应有与经营药品</w:t>
      </w:r>
      <w:r>
        <w:rPr>
          <w:rFonts w:hint="eastAsia" w:ascii="仿宋" w:hAnsi="仿宋" w:eastAsia="仿宋" w:cs="宋体"/>
          <w:color w:val="auto"/>
          <w:kern w:val="0"/>
          <w:sz w:val="32"/>
          <w:szCs w:val="32"/>
          <w:lang w:val="en-US" w:eastAsia="zh-CN"/>
        </w:rPr>
        <w:t>品种、</w:t>
      </w:r>
      <w:r>
        <w:rPr>
          <w:rFonts w:hint="eastAsia" w:ascii="仿宋" w:hAnsi="仿宋" w:eastAsia="仿宋" w:cs="宋体"/>
          <w:color w:val="auto"/>
          <w:kern w:val="0"/>
          <w:sz w:val="32"/>
          <w:szCs w:val="32"/>
        </w:rPr>
        <w:t>规模相适应的营业场所。</w:t>
      </w:r>
      <w:r>
        <w:rPr>
          <w:rFonts w:hint="eastAsia" w:ascii="仿宋" w:hAnsi="仿宋" w:eastAsia="仿宋" w:cs="宋体"/>
          <w:color w:val="auto"/>
          <w:kern w:val="0"/>
          <w:sz w:val="32"/>
          <w:szCs w:val="32"/>
          <w:lang w:val="en-US" w:eastAsia="zh-CN" w:bidi="ar"/>
        </w:rPr>
        <w:t>非珠三角地区经营处方药、甲类非处方药的药品零售企业营业场所使用面积不少于40平方米</w:t>
      </w:r>
      <w:r>
        <w:rPr>
          <w:rFonts w:hint="eastAsia" w:ascii="仿宋" w:hAnsi="仿宋" w:eastAsia="仿宋" w:cs="宋体"/>
          <w:color w:val="auto"/>
          <w:kern w:val="0"/>
          <w:sz w:val="32"/>
          <w:szCs w:val="32"/>
        </w:rPr>
        <w:t>（珠三角等地区</w:t>
      </w:r>
      <w:r>
        <w:rPr>
          <w:rFonts w:hint="eastAsia" w:ascii="Times New Roman" w:hAnsi="Times New Roman" w:eastAsia="仿宋_GB2312" w:cs="Times New Roman"/>
          <w:color w:val="auto"/>
          <w:sz w:val="32"/>
          <w:szCs w:val="32"/>
          <w:lang w:val="en-US" w:eastAsia="zh-CN"/>
        </w:rPr>
        <w:t>地级以上市药品监督管理部门</w:t>
      </w:r>
      <w:r>
        <w:rPr>
          <w:rFonts w:hint="eastAsia" w:ascii="仿宋" w:hAnsi="仿宋" w:eastAsia="仿宋" w:cs="宋体"/>
          <w:color w:val="auto"/>
          <w:kern w:val="0"/>
          <w:sz w:val="32"/>
          <w:szCs w:val="32"/>
        </w:rPr>
        <w:t>可</w:t>
      </w:r>
      <w:r>
        <w:rPr>
          <w:rFonts w:ascii="Times New Roman" w:hAnsi="Times New Roman" w:eastAsia="仿宋_GB2312" w:cs="Times New Roman"/>
          <w:color w:val="auto"/>
          <w:sz w:val="32"/>
          <w:szCs w:val="32"/>
        </w:rPr>
        <w:t>结合辖区和企业经营实际</w:t>
      </w:r>
      <w:r>
        <w:rPr>
          <w:rFonts w:hint="eastAsia" w:ascii="仿宋" w:hAnsi="仿宋" w:eastAsia="仿宋" w:cs="宋体"/>
          <w:color w:val="auto"/>
          <w:kern w:val="0"/>
          <w:sz w:val="32"/>
          <w:szCs w:val="32"/>
        </w:rPr>
        <w:t>需要适当调整，但应不小于60平方米）</w:t>
      </w:r>
      <w:r>
        <w:rPr>
          <w:rFonts w:hint="eastAsia" w:ascii="仿宋" w:hAnsi="仿宋" w:eastAsia="仿宋"/>
          <w:color w:val="auto"/>
          <w:sz w:val="32"/>
          <w:szCs w:val="32"/>
        </w:rPr>
        <w:t>。</w:t>
      </w:r>
      <w:r>
        <w:rPr>
          <w:rFonts w:hint="eastAsia" w:ascii="仿宋" w:hAnsi="仿宋" w:eastAsia="仿宋" w:cs="宋体"/>
          <w:color w:val="auto"/>
          <w:kern w:val="0"/>
          <w:sz w:val="32"/>
          <w:szCs w:val="32"/>
        </w:rPr>
        <w:t>上述面积指同一平面上的连续面积。</w:t>
      </w:r>
    </w:p>
    <w:p>
      <w:pPr>
        <w:snapToGrid w:val="0"/>
        <w:spacing w:line="640" w:lineRule="exact"/>
        <w:ind w:firstLine="645"/>
        <w:rPr>
          <w:rFonts w:hint="eastAsia" w:ascii="仿宋" w:hAnsi="仿宋" w:eastAsia="仿宋" w:cs="仿宋"/>
          <w:color w:val="auto"/>
          <w:kern w:val="0"/>
          <w:sz w:val="32"/>
          <w:szCs w:val="32"/>
          <w:lang w:val="en-US" w:eastAsia="zh-CN" w:bidi="ar"/>
        </w:rPr>
      </w:pPr>
      <w:r>
        <w:rPr>
          <w:rFonts w:hint="eastAsia" w:ascii="仿宋" w:hAnsi="仿宋" w:eastAsia="仿宋" w:cs="仿宋"/>
          <w:color w:val="auto"/>
          <w:sz w:val="32"/>
          <w:szCs w:val="32"/>
        </w:rPr>
        <w:t>在农村地区设立的药品零售企业，</w:t>
      </w:r>
      <w:r>
        <w:rPr>
          <w:rFonts w:hint="eastAsia" w:ascii="仿宋" w:hAnsi="仿宋" w:eastAsia="仿宋" w:cs="仿宋"/>
          <w:color w:val="auto"/>
          <w:sz w:val="32"/>
          <w:szCs w:val="32"/>
          <w:lang w:val="en-US" w:eastAsia="zh-CN"/>
        </w:rPr>
        <w:t>各地级以上市药品监督管理部门</w:t>
      </w:r>
      <w:r>
        <w:rPr>
          <w:rFonts w:hint="eastAsia" w:ascii="仿宋" w:hAnsi="仿宋" w:eastAsia="仿宋" w:cs="仿宋"/>
          <w:color w:val="auto"/>
          <w:sz w:val="32"/>
          <w:szCs w:val="32"/>
        </w:rPr>
        <w:t>可结合辖区和企业经营实际</w:t>
      </w:r>
      <w:r>
        <w:rPr>
          <w:rFonts w:hint="eastAsia" w:ascii="仿宋" w:hAnsi="仿宋" w:eastAsia="仿宋" w:cs="仿宋"/>
          <w:color w:val="auto"/>
          <w:sz w:val="32"/>
          <w:szCs w:val="32"/>
          <w:lang w:val="en-US" w:eastAsia="zh-CN"/>
        </w:rPr>
        <w:t>适当</w:t>
      </w:r>
      <w:r>
        <w:rPr>
          <w:rFonts w:hint="eastAsia" w:ascii="仿宋" w:hAnsi="仿宋" w:eastAsia="仿宋" w:cs="仿宋"/>
          <w:color w:val="auto"/>
          <w:sz w:val="32"/>
          <w:szCs w:val="32"/>
        </w:rPr>
        <w:t>调整营业场所面积要求。</w:t>
      </w:r>
    </w:p>
    <w:p>
      <w:pPr>
        <w:snapToGrid w:val="0"/>
        <w:spacing w:line="640" w:lineRule="exact"/>
        <w:ind w:firstLine="645"/>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申请仅经营乙类非处方药的，其营业场所面积不作具体要求，但应与其经营品种、规模相适应。</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第十</w:t>
      </w:r>
      <w:r>
        <w:rPr>
          <w:rFonts w:hint="eastAsia" w:ascii="仿宋" w:hAnsi="仿宋" w:eastAsia="楷体_GB2312"/>
          <w:bCs/>
          <w:color w:val="auto"/>
          <w:sz w:val="32"/>
          <w:lang w:val="en-US" w:eastAsia="zh-CN"/>
        </w:rPr>
        <w:t>四</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在超市等其他商业企业内设立零售药店的，必须有有效隔断的独立区域，周围环境不得对药品造成污染。</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第十</w:t>
      </w:r>
      <w:r>
        <w:rPr>
          <w:rFonts w:hint="eastAsia" w:ascii="仿宋" w:hAnsi="仿宋" w:eastAsia="楷体_GB2312"/>
          <w:bCs/>
          <w:color w:val="auto"/>
          <w:sz w:val="32"/>
          <w:lang w:val="en-US" w:eastAsia="zh-CN"/>
        </w:rPr>
        <w:t>五</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企业营业场所应当与药品储存、办公、生活辅助及其他区域分开。</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第十</w:t>
      </w:r>
      <w:r>
        <w:rPr>
          <w:rFonts w:hint="eastAsia" w:ascii="仿宋" w:hAnsi="仿宋" w:eastAsia="楷体_GB2312"/>
          <w:bCs/>
          <w:color w:val="auto"/>
          <w:sz w:val="32"/>
          <w:lang w:val="en-US" w:eastAsia="zh-CN"/>
        </w:rPr>
        <w:t>六</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企业营业场所和药品仓库应环境整洁、无污染物、地面和墙壁平整、清洁。</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企业营业场所应有与外界有效间隔的设施，并安装空调以满足营业场所环境舒适，药品储存、销售、陈列区（库、柜）应配备有效调节及监测温、湿度的设施设备，确保药品储存、销售、陈列温度符合药品包装、说明书规定的储存要求。</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第十</w:t>
      </w:r>
      <w:r>
        <w:rPr>
          <w:rFonts w:hint="eastAsia" w:ascii="仿宋" w:hAnsi="仿宋" w:eastAsia="楷体_GB2312"/>
          <w:bCs/>
          <w:color w:val="auto"/>
          <w:sz w:val="32"/>
          <w:lang w:val="en-US" w:eastAsia="zh-CN"/>
        </w:rPr>
        <w:t>七</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企业营业场所应当配备以下营业设备：</w:t>
      </w:r>
    </w:p>
    <w:p>
      <w:pPr>
        <w:numPr>
          <w:ilvl w:val="0"/>
          <w:numId w:val="1"/>
        </w:num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配置与经营范围、经营规模相适应的符合药品包装标示贮藏要求的存放和陈列药品的设施设备（货架、柜台、阴凉柜、阴凉区、冷藏柜、冷藏箱等）；</w:t>
      </w:r>
    </w:p>
    <w:p>
      <w:pPr>
        <w:numPr>
          <w:ilvl w:val="0"/>
          <w:numId w:val="1"/>
        </w:num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经营中药饮片的，有符合中药饮片存放、处方调配及计量、卫生要求的的药斗、衡器、中药饮片包装等设备（中药饮片应置于原包装内销售，未销售完的原包装不得弃置）；中药饮片柜斗谱的书写应当正名正字</w:t>
      </w:r>
      <w:r>
        <w:rPr>
          <w:rFonts w:hint="eastAsia" w:ascii="仿宋" w:hAnsi="仿宋" w:eastAsia="仿宋" w:cs="宋体"/>
          <w:color w:val="auto"/>
          <w:kern w:val="0"/>
          <w:sz w:val="32"/>
          <w:szCs w:val="32"/>
          <w:lang w:eastAsia="zh-CN"/>
        </w:rPr>
        <w:t>；</w:t>
      </w:r>
    </w:p>
    <w:p>
      <w:pPr>
        <w:numPr>
          <w:ilvl w:val="0"/>
          <w:numId w:val="1"/>
        </w:num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经营第二类精神药品、</w:t>
      </w:r>
      <w:r>
        <w:rPr>
          <w:rFonts w:hint="eastAsia" w:ascii="仿宋" w:hAnsi="仿宋" w:eastAsia="仿宋" w:cs="宋体"/>
          <w:color w:val="auto"/>
          <w:kern w:val="0"/>
          <w:sz w:val="32"/>
          <w:szCs w:val="32"/>
          <w:lang w:eastAsia="zh-CN"/>
        </w:rPr>
        <w:t>医疗用毒性药品</w:t>
      </w:r>
      <w:r>
        <w:rPr>
          <w:rFonts w:hint="eastAsia" w:ascii="仿宋" w:hAnsi="仿宋" w:eastAsia="仿宋" w:cs="宋体"/>
          <w:color w:val="auto"/>
          <w:kern w:val="0"/>
          <w:sz w:val="32"/>
          <w:szCs w:val="32"/>
        </w:rPr>
        <w:t>和罂粟壳的，有符合安全规定的专用存放设备，实行双人双锁管理；</w:t>
      </w:r>
    </w:p>
    <w:p>
      <w:pPr>
        <w:numPr>
          <w:ilvl w:val="0"/>
          <w:numId w:val="1"/>
        </w:num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药品拆零销售的，应配备符合拆零及卫生要求的调配工具、包装用品；</w:t>
      </w:r>
    </w:p>
    <w:p>
      <w:pPr>
        <w:numPr>
          <w:ilvl w:val="0"/>
          <w:numId w:val="1"/>
        </w:num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olor w:val="auto"/>
          <w:sz w:val="32"/>
          <w:szCs w:val="32"/>
        </w:rPr>
        <w:t>配备有能够符合经营和质量管理要求的计算机系统，并满足药品电子监管的实施条件</w:t>
      </w:r>
      <w:r>
        <w:rPr>
          <w:rFonts w:hint="eastAsia" w:ascii="仿宋" w:hAnsi="仿宋" w:eastAsia="仿宋" w:cs="宋体"/>
          <w:color w:val="auto"/>
          <w:kern w:val="0"/>
          <w:sz w:val="32"/>
          <w:szCs w:val="32"/>
        </w:rPr>
        <w:t>；</w:t>
      </w:r>
    </w:p>
    <w:p>
      <w:pPr>
        <w:numPr>
          <w:ilvl w:val="0"/>
          <w:numId w:val="1"/>
        </w:num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销售凭证打印设备等</w:t>
      </w:r>
      <w:r>
        <w:rPr>
          <w:rFonts w:hint="eastAsia" w:ascii="仿宋" w:hAnsi="仿宋" w:eastAsia="仿宋"/>
          <w:color w:val="auto"/>
          <w:sz w:val="32"/>
          <w:szCs w:val="32"/>
        </w:rPr>
        <w:t>。</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楷体_GB2312"/>
          <w:bCs/>
          <w:color w:val="auto"/>
          <w:sz w:val="32"/>
        </w:rPr>
        <w:t>第</w:t>
      </w:r>
      <w:r>
        <w:rPr>
          <w:rFonts w:hint="eastAsia" w:ascii="仿宋" w:hAnsi="仿宋" w:eastAsia="楷体_GB2312"/>
          <w:bCs/>
          <w:color w:val="auto"/>
          <w:sz w:val="32"/>
          <w:lang w:val="en-US" w:eastAsia="zh-CN"/>
        </w:rPr>
        <w:t>十八</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企业营业场所药品陈列区域应有避光、通风、防潮、防虫、防鼠等设备。陈列布局应当符合以下要求：</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（一）按用途、剂型以及储存要求分类陈列，并设置醒目标识，分类类别标签字迹清晰、放置准确； </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（二）处方药、非处方药应分区陈列，有处方药、非处方药专用标识，并在药品营业区显眼位置标示处方药的警示语和非处方药的忠告语；</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（三）处方药、国家有专门管理要求的药品应集中设置专区（柜）销售，不得采用开架自选的方式陈列和销售；处方药区域应有效隔离，除具备处方审核、调配、核对资格的人员外，其他人员不得进入</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 xml:space="preserve"> </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（四）第二类精神药品、</w:t>
      </w:r>
      <w:r>
        <w:rPr>
          <w:rFonts w:hint="eastAsia" w:ascii="仿宋" w:hAnsi="仿宋" w:eastAsia="仿宋" w:cs="宋体"/>
          <w:color w:val="auto"/>
          <w:kern w:val="0"/>
          <w:sz w:val="32"/>
          <w:szCs w:val="32"/>
          <w:lang w:eastAsia="zh-CN"/>
        </w:rPr>
        <w:t>医疗用毒性药品</w:t>
      </w:r>
      <w:r>
        <w:rPr>
          <w:rFonts w:hint="eastAsia" w:ascii="仿宋" w:hAnsi="仿宋" w:eastAsia="仿宋" w:cs="宋体"/>
          <w:color w:val="auto"/>
          <w:kern w:val="0"/>
          <w:sz w:val="32"/>
          <w:szCs w:val="32"/>
        </w:rPr>
        <w:t>和罂粟壳不得陈列；</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（五）外用药与其他药品应分开摆放；</w:t>
      </w:r>
    </w:p>
    <w:p>
      <w:pPr>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（六）经营非药品应当集中设置专区，与药品区域明显分开，并有醒目标志（具有功能主治声称包装的中药饮片等药品不得置于非药品区域）</w:t>
      </w:r>
      <w:r>
        <w:rPr>
          <w:rFonts w:hint="eastAsia" w:ascii="仿宋" w:hAnsi="仿宋" w:eastAsia="仿宋" w:cs="宋体"/>
          <w:color w:val="auto"/>
          <w:kern w:val="0"/>
          <w:sz w:val="32"/>
          <w:szCs w:val="32"/>
          <w:lang w:eastAsia="zh-CN"/>
        </w:rPr>
        <w:t>。</w:t>
      </w:r>
    </w:p>
    <w:p>
      <w:pPr>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楷体_GB2312"/>
          <w:bCs/>
          <w:color w:val="auto"/>
          <w:sz w:val="32"/>
        </w:rPr>
        <w:t>第</w:t>
      </w:r>
      <w:r>
        <w:rPr>
          <w:rFonts w:hint="eastAsia" w:ascii="仿宋" w:hAnsi="仿宋" w:eastAsia="楷体_GB2312"/>
          <w:bCs/>
          <w:color w:val="auto"/>
          <w:sz w:val="32"/>
          <w:lang w:val="en-US" w:eastAsia="zh-CN"/>
        </w:rPr>
        <w:t>十九</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从事药品拆零销售业务的，企业负责拆零销售的人员应经过专门培训；应设置拆零药品专柜和专用记录本；拆零的工作台及工具、包装袋应保持清洁、卫生，防止交叉污染；包装袋上写明药品名称、规格、数量、用法、用量、批号、有效期以及药店名称等内容。</w:t>
      </w:r>
    </w:p>
    <w:p>
      <w:pPr>
        <w:widowControl/>
        <w:snapToGrid w:val="0"/>
        <w:spacing w:line="640" w:lineRule="exact"/>
        <w:ind w:firstLine="640" w:firstLineChars="200"/>
        <w:rPr>
          <w:rFonts w:hint="eastAsia" w:ascii="仿宋" w:hAnsi="仿宋" w:eastAsia="仿宋" w:cs="宋体"/>
          <w:color w:val="auto"/>
          <w:kern w:val="0"/>
          <w:sz w:val="32"/>
          <w:szCs w:val="32"/>
          <w:highlight w:val="yellow"/>
        </w:rPr>
      </w:pPr>
      <w:r>
        <w:rPr>
          <w:rFonts w:hint="eastAsia" w:ascii="楷体" w:hAnsi="楷体" w:eastAsia="楷体" w:cs="楷体"/>
          <w:color w:val="auto"/>
          <w:sz w:val="32"/>
          <w:szCs w:val="32"/>
        </w:rPr>
        <w:t>第</w:t>
      </w:r>
      <w:r>
        <w:rPr>
          <w:rFonts w:hint="eastAsia" w:ascii="楷体" w:hAnsi="楷体" w:eastAsia="楷体" w:cs="楷体"/>
          <w:color w:val="auto"/>
          <w:sz w:val="32"/>
          <w:szCs w:val="32"/>
          <w:lang w:val="en-US" w:eastAsia="zh-CN"/>
        </w:rPr>
        <w:t>二十</w:t>
      </w:r>
      <w:r>
        <w:rPr>
          <w:rFonts w:hint="eastAsia" w:ascii="楷体" w:hAnsi="楷体" w:eastAsia="楷体" w:cs="楷体"/>
          <w:color w:val="auto"/>
          <w:sz w:val="32"/>
          <w:szCs w:val="32"/>
        </w:rPr>
        <w:t>条</w:t>
      </w:r>
      <w:r>
        <w:rPr>
          <w:rFonts w:hint="eastAsia" w:ascii="仿宋" w:hAnsi="仿宋" w:eastAsia="仿宋"/>
          <w:color w:val="auto"/>
          <w:sz w:val="32"/>
          <w:szCs w:val="32"/>
        </w:rPr>
        <w:t xml:space="preserve"> </w:t>
      </w:r>
      <w:r>
        <w:rPr>
          <w:rFonts w:hint="eastAsia" w:ascii="仿宋" w:hAnsi="仿宋" w:eastAsia="仿宋" w:cs="宋体"/>
          <w:color w:val="auto"/>
          <w:kern w:val="0"/>
          <w:sz w:val="32"/>
          <w:szCs w:val="32"/>
        </w:rPr>
        <w:t>经营第二类精神药品，仅限符合国家规定的、并经许可的药品零售连锁企业的连锁门店；经营医疗用毒性药品和罂粟壳，仅限</w:t>
      </w:r>
      <w:r>
        <w:rPr>
          <w:rFonts w:hint="eastAsia" w:ascii="仿宋" w:hAnsi="仿宋" w:eastAsia="仿宋" w:cs="宋体"/>
          <w:color w:val="auto"/>
          <w:kern w:val="0"/>
          <w:sz w:val="32"/>
          <w:szCs w:val="32"/>
          <w:lang w:val="en-US" w:eastAsia="zh-CN"/>
        </w:rPr>
        <w:t>县级以上</w:t>
      </w:r>
      <w:r>
        <w:rPr>
          <w:rFonts w:hint="eastAsia" w:ascii="仿宋" w:hAnsi="仿宋" w:eastAsia="仿宋" w:cs="宋体"/>
          <w:color w:val="auto"/>
          <w:kern w:val="0"/>
          <w:sz w:val="32"/>
          <w:szCs w:val="32"/>
        </w:rPr>
        <w:t>药品监督管理部门指定的药品零售企业。</w:t>
      </w:r>
    </w:p>
    <w:p>
      <w:pPr>
        <w:snapToGrid w:val="0"/>
        <w:spacing w:line="640" w:lineRule="exact"/>
        <w:ind w:firstLine="645"/>
        <w:rPr>
          <w:rFonts w:hint="eastAsia" w:ascii="仿宋" w:hAnsi="仿宋" w:eastAsia="仿宋" w:cs="宋体"/>
          <w:color w:val="auto"/>
          <w:kern w:val="0"/>
          <w:sz w:val="32"/>
          <w:szCs w:val="32"/>
        </w:rPr>
      </w:pPr>
      <w:r>
        <w:rPr>
          <w:rFonts w:hint="eastAsia" w:ascii="楷体" w:hAnsi="楷体" w:eastAsia="楷体" w:cs="楷体"/>
          <w:color w:val="auto"/>
          <w:kern w:val="0"/>
          <w:sz w:val="32"/>
          <w:szCs w:val="32"/>
        </w:rPr>
        <w:t>第二十</w:t>
      </w:r>
      <w:r>
        <w:rPr>
          <w:rFonts w:hint="eastAsia" w:ascii="楷体" w:hAnsi="楷体" w:eastAsia="楷体" w:cs="楷体"/>
          <w:color w:val="auto"/>
          <w:kern w:val="0"/>
          <w:sz w:val="32"/>
          <w:szCs w:val="32"/>
          <w:lang w:eastAsia="zh-CN"/>
        </w:rPr>
        <w:t>一</w:t>
      </w:r>
      <w:r>
        <w:rPr>
          <w:rFonts w:hint="eastAsia" w:ascii="楷体" w:hAnsi="楷体" w:eastAsia="楷体" w:cs="楷体"/>
          <w:color w:val="auto"/>
          <w:kern w:val="0"/>
          <w:sz w:val="32"/>
          <w:szCs w:val="32"/>
        </w:rPr>
        <w:t>条</w:t>
      </w:r>
      <w:r>
        <w:rPr>
          <w:rFonts w:hint="eastAsia" w:ascii="仿宋" w:hAnsi="仿宋" w:eastAsia="仿宋" w:cs="宋体"/>
          <w:color w:val="auto"/>
          <w:kern w:val="0"/>
          <w:sz w:val="32"/>
          <w:szCs w:val="32"/>
        </w:rPr>
        <w:t xml:space="preserve"> 药品零售连锁企业应在</w:t>
      </w:r>
      <w:r>
        <w:rPr>
          <w:rFonts w:hint="eastAsia" w:ascii="仿宋" w:hAnsi="仿宋" w:eastAsia="仿宋" w:cs="仿宋"/>
          <w:color w:val="auto"/>
          <w:kern w:val="0"/>
          <w:sz w:val="32"/>
          <w:szCs w:val="32"/>
          <w:lang w:bidi="ar"/>
        </w:rPr>
        <w:t>同一总部的统一管理下，统一商号，统一质量管理体系，统一药品采购、统一物流配送、统一计算机管理系统，统一票据格式</w:t>
      </w:r>
      <w:r>
        <w:rPr>
          <w:rFonts w:hint="eastAsia" w:ascii="仿宋" w:hAnsi="仿宋" w:eastAsia="仿宋" w:cs="宋体"/>
          <w:color w:val="auto"/>
          <w:kern w:val="0"/>
          <w:sz w:val="32"/>
          <w:szCs w:val="32"/>
        </w:rPr>
        <w:t>（简称“七统一”）。</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楷体_GB2312"/>
          <w:bCs/>
          <w:color w:val="auto"/>
          <w:sz w:val="32"/>
        </w:rPr>
        <w:t>第二十</w:t>
      </w:r>
      <w:r>
        <w:rPr>
          <w:rFonts w:hint="eastAsia" w:ascii="仿宋" w:hAnsi="仿宋" w:eastAsia="楷体_GB2312"/>
          <w:bCs/>
          <w:color w:val="auto"/>
          <w:sz w:val="32"/>
          <w:lang w:val="en-US" w:eastAsia="zh-CN"/>
        </w:rPr>
        <w:t>二</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企业应当建立符合经营和质量管理要求的计算机系统，能满足药品追溯的要求，其经营信息应</w:t>
      </w:r>
      <w:r>
        <w:rPr>
          <w:rFonts w:hint="eastAsia" w:ascii="仿宋" w:hAnsi="仿宋" w:eastAsia="仿宋"/>
          <w:color w:val="auto"/>
          <w:sz w:val="32"/>
          <w:szCs w:val="32"/>
        </w:rPr>
        <w:t>按要求上传至广东省药品电子监管信息系统</w:t>
      </w:r>
      <w:r>
        <w:rPr>
          <w:rFonts w:hint="eastAsia" w:ascii="仿宋" w:hAnsi="仿宋" w:eastAsia="仿宋" w:cs="宋体"/>
          <w:color w:val="auto"/>
          <w:kern w:val="0"/>
          <w:sz w:val="32"/>
          <w:szCs w:val="32"/>
        </w:rPr>
        <w:t>。计算机系统应按照《药品经营质量管理规范》相关规定，在系统中设置各经营流程的质量控制功能，与采购、销售以及收货、验收、储存、陈列、养护、出库复核、运输、配送等系统功能形成内嵌式结构，对各项经营活动进行判断，对不符合药品监督管理法律法规以及《规范》的行为进行识别及控制，确保各项质量控制功能的实时和有效。</w:t>
      </w:r>
    </w:p>
    <w:p>
      <w:pPr>
        <w:snapToGrid w:val="0"/>
        <w:spacing w:line="640" w:lineRule="exact"/>
        <w:ind w:firstLine="640" w:firstLineChars="200"/>
        <w:rPr>
          <w:rFonts w:hint="eastAsia" w:ascii="仿宋" w:hAnsi="仿宋" w:eastAsia="仿宋" w:cs="宋体"/>
          <w:color w:val="auto"/>
          <w:kern w:val="0"/>
          <w:sz w:val="32"/>
          <w:szCs w:val="32"/>
        </w:rPr>
      </w:pPr>
      <w:r>
        <w:rPr>
          <w:rFonts w:hint="eastAsia" w:ascii="楷体" w:hAnsi="楷体" w:eastAsia="楷体" w:cs="楷体"/>
          <w:color w:val="auto"/>
          <w:kern w:val="0"/>
          <w:sz w:val="32"/>
          <w:szCs w:val="32"/>
        </w:rPr>
        <w:t>第二十</w:t>
      </w:r>
      <w:r>
        <w:rPr>
          <w:rFonts w:hint="eastAsia" w:ascii="楷体" w:hAnsi="楷体" w:eastAsia="楷体" w:cs="楷体"/>
          <w:color w:val="auto"/>
          <w:kern w:val="0"/>
          <w:sz w:val="32"/>
          <w:szCs w:val="32"/>
          <w:lang w:val="en-US" w:eastAsia="zh-CN"/>
        </w:rPr>
        <w:t>三</w:t>
      </w:r>
      <w:r>
        <w:rPr>
          <w:rFonts w:hint="eastAsia" w:ascii="楷体" w:hAnsi="楷体" w:eastAsia="楷体" w:cs="楷体"/>
          <w:color w:val="auto"/>
          <w:kern w:val="0"/>
          <w:sz w:val="32"/>
          <w:szCs w:val="32"/>
        </w:rPr>
        <w:t>条</w:t>
      </w:r>
      <w:r>
        <w:rPr>
          <w:rFonts w:hint="eastAsia" w:ascii="仿宋" w:hAnsi="仿宋" w:eastAsia="仿宋" w:cs="宋体"/>
          <w:color w:val="auto"/>
          <w:kern w:val="0"/>
          <w:sz w:val="32"/>
          <w:szCs w:val="32"/>
        </w:rPr>
        <w:t xml:space="preserve"> 电子记录数据应当以安全、可靠的方式储存并定期备份。　</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销售凭证打印设备应与计算机管理系统自动连接，销售凭证格式至少包括药品名称、</w:t>
      </w:r>
      <w:r>
        <w:rPr>
          <w:rFonts w:hint="eastAsia" w:ascii="仿宋" w:hAnsi="仿宋" w:eastAsia="仿宋" w:cs="宋体"/>
          <w:color w:val="auto"/>
          <w:kern w:val="0"/>
          <w:sz w:val="32"/>
          <w:szCs w:val="32"/>
          <w:lang w:val="en-US" w:eastAsia="zh-CN"/>
        </w:rPr>
        <w:t>药品上市许可持有人、</w:t>
      </w:r>
      <w:r>
        <w:rPr>
          <w:rFonts w:hint="eastAsia" w:ascii="仿宋" w:hAnsi="仿宋" w:eastAsia="仿宋" w:cs="宋体"/>
          <w:color w:val="auto"/>
          <w:kern w:val="0"/>
          <w:sz w:val="32"/>
          <w:szCs w:val="32"/>
        </w:rPr>
        <w:t>生产企业名称、批号、规格、数量、价格、销售企业名称、销售日期等内容。</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药品零售连锁企业所属连锁门店应与总部、配送中心（仓库）实现计算机网络实时连接。</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第二十</w:t>
      </w:r>
      <w:r>
        <w:rPr>
          <w:rFonts w:hint="eastAsia" w:ascii="仿宋" w:hAnsi="仿宋" w:eastAsia="楷体_GB2312"/>
          <w:bCs/>
          <w:color w:val="auto"/>
          <w:sz w:val="32"/>
          <w:lang w:val="en-US" w:eastAsia="zh-CN"/>
        </w:rPr>
        <w:t>四</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经营中药饮片应在营业场所设置独立区域，有明显标识，并配置所需的调配处方和临方炮制的设备。属于《既是食品又是药品的物质名单》以食品进行销售的产品，应与中药饮片分区分开存放，并不得声称功能主治。</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第二十</w:t>
      </w:r>
      <w:r>
        <w:rPr>
          <w:rFonts w:hint="eastAsia" w:ascii="仿宋" w:hAnsi="仿宋" w:eastAsia="楷体_GB2312"/>
          <w:bCs/>
          <w:color w:val="auto"/>
          <w:sz w:val="32"/>
          <w:lang w:val="en-US" w:eastAsia="zh-CN"/>
        </w:rPr>
        <w:t>五</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企业应配备合格的计量器具以及清洁卫生的药品调剂工具、包装用品等。</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第二十</w:t>
      </w:r>
      <w:r>
        <w:rPr>
          <w:rFonts w:hint="eastAsia" w:ascii="仿宋" w:hAnsi="仿宋" w:eastAsia="楷体_GB2312"/>
          <w:bCs/>
          <w:color w:val="auto"/>
          <w:sz w:val="32"/>
          <w:lang w:val="en-US" w:eastAsia="zh-CN"/>
        </w:rPr>
        <w:t>六</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未设置药品仓库的，应有相对固定的验收场所，退货药品和不合格药品应设置专库或专柜,并实行色标管理。设置药品仓库的，其使用面积与功能应与经营规模相适应，并应符合《药品经营质量管理规范》及其附录有关规定，设置有效监测和调控温湿度的设备。储存中药饮片应当设立专用库房。</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w:t>
      </w:r>
      <w:r>
        <w:rPr>
          <w:rFonts w:hint="eastAsia" w:ascii="仿宋" w:hAnsi="仿宋" w:eastAsia="楷体_GB2312"/>
          <w:bCs/>
          <w:color w:val="auto"/>
          <w:sz w:val="32"/>
          <w:lang w:val="en-US" w:eastAsia="zh-CN"/>
        </w:rPr>
        <w:t>二十七</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企业应当在营业场所公布药品监督管理部门的监督电话，设置顾客意见簿。</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楷体_GB2312"/>
          <w:bCs/>
          <w:color w:val="auto"/>
          <w:sz w:val="32"/>
        </w:rPr>
        <w:t>第</w:t>
      </w:r>
      <w:r>
        <w:rPr>
          <w:rFonts w:hint="eastAsia" w:ascii="仿宋" w:hAnsi="仿宋" w:eastAsia="楷体_GB2312"/>
          <w:bCs/>
          <w:color w:val="auto"/>
          <w:sz w:val="32"/>
          <w:lang w:val="en-US" w:eastAsia="zh-CN"/>
        </w:rPr>
        <w:t>二十八</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企业在营业场所内进行的广告宣传，应符合国家有关规定。</w:t>
      </w:r>
    </w:p>
    <w:p>
      <w:pPr>
        <w:widowControl/>
        <w:snapToGrid w:val="0"/>
        <w:spacing w:line="640" w:lineRule="exact"/>
        <w:jc w:val="center"/>
        <w:rPr>
          <w:rFonts w:hint="eastAsia" w:ascii="黑体" w:hAnsi="黑体" w:eastAsia="黑体"/>
          <w:bCs/>
          <w:color w:val="auto"/>
          <w:sz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章 管理制度</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楷体_GB2312"/>
          <w:bCs/>
          <w:color w:val="auto"/>
          <w:sz w:val="32"/>
        </w:rPr>
        <w:t>第</w:t>
      </w:r>
      <w:r>
        <w:rPr>
          <w:rFonts w:hint="eastAsia" w:ascii="仿宋" w:hAnsi="仿宋" w:eastAsia="楷体_GB2312"/>
          <w:bCs/>
          <w:color w:val="auto"/>
          <w:sz w:val="32"/>
          <w:lang w:val="en-US" w:eastAsia="zh-CN"/>
        </w:rPr>
        <w:t>二十九</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企业应制定具有保证所经营药品质量的管理制度，至少包括：</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（1）岗位职责与质量责任；</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（2）药品采购管理；</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（3）药品验收管理；</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（4）药品陈列管理；</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（5）药品销售管理；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（6）供货单位和采购品种审核管理；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（7）处方药销售管理；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（8）药品拆零管理；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（9）特殊管理药品和国家有专门管理要求的药品管理；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（10）记录和凭证管理；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（11）收集和查询质量信息管理；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（12）质量事故、质量投诉的管理；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（13）中药饮片处方审核、调配、核对的管理；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（14）药品有效期的管理；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（15）不合格药品、药品销毁的管理；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（16）环境卫生和人员健康的规定；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（17）提供用药咨询、指导合理用药等药学服务的管理；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（18）人员培训及考核的规定；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（19）药品不良反应报告的规定；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（20）计算机系统管理；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（21）药品追溯的规定；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（22）设置库房的还应当包括储存、养护的管理。</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药品零售连锁企业连锁门店的质量管理制度按照上述要求由总部统一制定，由连锁门店负责具体实施。</w:t>
      </w:r>
    </w:p>
    <w:p>
      <w:pPr>
        <w:snapToGrid w:val="0"/>
        <w:spacing w:line="640" w:lineRule="exact"/>
        <w:ind w:firstLine="640" w:firstLineChars="200"/>
        <w:rPr>
          <w:rFonts w:hint="eastAsia" w:ascii="仿宋" w:hAnsi="仿宋" w:eastAsia="仿宋"/>
          <w:color w:val="auto"/>
          <w:sz w:val="32"/>
          <w:szCs w:val="32"/>
        </w:rPr>
      </w:pPr>
      <w:r>
        <w:rPr>
          <w:rFonts w:hint="eastAsia" w:ascii="仿宋" w:hAnsi="仿宋" w:eastAsia="楷体_GB2312"/>
          <w:bCs/>
          <w:color w:val="auto"/>
          <w:sz w:val="32"/>
        </w:rPr>
        <w:t>第三十条</w:t>
      </w:r>
      <w:r>
        <w:rPr>
          <w:rFonts w:hint="eastAsia" w:ascii="仿宋" w:hAnsi="仿宋" w:eastAsia="仿宋" w:cs="宋体"/>
          <w:color w:val="auto"/>
          <w:kern w:val="0"/>
          <w:sz w:val="32"/>
          <w:szCs w:val="32"/>
        </w:rPr>
        <w:t xml:space="preserve"> 企业应制定具有保证所经营药品质量的操作规程，主要包括：</w:t>
      </w:r>
    </w:p>
    <w:p>
      <w:pPr>
        <w:snapToGrid w:val="0"/>
        <w:spacing w:line="640" w:lineRule="exact"/>
        <w:rPr>
          <w:rFonts w:hint="eastAsia" w:ascii="仿宋" w:hAnsi="仿宋" w:eastAsia="仿宋"/>
          <w:color w:val="auto"/>
          <w:sz w:val="32"/>
          <w:szCs w:val="32"/>
        </w:rPr>
      </w:pPr>
      <w:r>
        <w:rPr>
          <w:rFonts w:hint="eastAsia" w:ascii="仿宋" w:hAnsi="仿宋" w:eastAsia="仿宋" w:cs="宋体"/>
          <w:color w:val="auto"/>
          <w:kern w:val="0"/>
          <w:sz w:val="32"/>
          <w:szCs w:val="32"/>
        </w:rPr>
        <w:t xml:space="preserve">（1）药品采购、验收、销售；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（2）处方审核、调配、核对；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（3）中药饮片处方审核、调配、核对；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（4）药品拆零销售；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（5）特殊管理的药品和国家有专门管理要求的药品的销售；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（6）营业场所药品陈列及检查；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（7）营业场所冷藏药品的存放；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（8）计算机系统的操作和管理； </w:t>
      </w:r>
    </w:p>
    <w:p>
      <w:pPr>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（9）设置库房的还应当包括储存和养护的操作规程。</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药品零售连锁企业连锁门店的操作规程按照上述要求由总部统一制定，由连锁门店负责具体实施。</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楷体_GB2312"/>
          <w:bCs/>
          <w:color w:val="auto"/>
          <w:sz w:val="32"/>
        </w:rPr>
        <w:t>第三十</w:t>
      </w:r>
      <w:r>
        <w:rPr>
          <w:rFonts w:hint="eastAsia" w:ascii="仿宋" w:hAnsi="仿宋" w:eastAsia="楷体_GB2312"/>
          <w:bCs/>
          <w:color w:val="auto"/>
          <w:sz w:val="32"/>
          <w:lang w:val="en-US" w:eastAsia="zh-CN"/>
        </w:rPr>
        <w:t>一</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企业应建立真实、完整、准确、有效、可追溯的质量管理记录。主要包括：</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（1）药品采购记录；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（2）药品验收记录；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（3）药品陈列检查记录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（4）药品养护记录；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（5）药品销售记录；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（6）中药饮片处方审核、调配核对记录；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（7）中药饮片清斗装斗记录；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（8）药品拆零销售记录；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（9）温湿度监测记录；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（10）药品质量投诉和质量事故处理记录；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（11）药品不良反应报告记录；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（12）不合格药品处理记录；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（13）首营企业审核记录；</w:t>
      </w:r>
    </w:p>
    <w:p>
      <w:pPr>
        <w:widowControl/>
        <w:snapToGrid w:val="0"/>
        <w:spacing w:line="64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（14）首营品种审核记录。</w:t>
      </w:r>
    </w:p>
    <w:p>
      <w:pPr>
        <w:widowControl/>
        <w:snapToGrid w:val="0"/>
        <w:spacing w:line="64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经营第二类精神药品、</w:t>
      </w:r>
      <w:r>
        <w:rPr>
          <w:rFonts w:hint="eastAsia" w:ascii="仿宋" w:hAnsi="仿宋" w:eastAsia="仿宋" w:cs="宋体"/>
          <w:color w:val="auto"/>
          <w:kern w:val="0"/>
          <w:sz w:val="32"/>
          <w:szCs w:val="32"/>
          <w:lang w:eastAsia="zh-CN"/>
        </w:rPr>
        <w:t>医疗用毒性药品</w:t>
      </w:r>
      <w:r>
        <w:rPr>
          <w:rFonts w:hint="eastAsia" w:ascii="仿宋" w:hAnsi="仿宋" w:eastAsia="仿宋" w:cs="宋体"/>
          <w:color w:val="auto"/>
          <w:kern w:val="0"/>
          <w:sz w:val="32"/>
          <w:szCs w:val="32"/>
        </w:rPr>
        <w:t>和罂粟壳的，应设立特殊药品专用账册。</w:t>
      </w:r>
    </w:p>
    <w:p>
      <w:pPr>
        <w:snapToGrid w:val="0"/>
        <w:spacing w:line="640" w:lineRule="exact"/>
        <w:ind w:firstLine="645"/>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药品零售连锁企业连锁门店的质量管理记录格式由总部统一制定，按相关规定实施。</w:t>
      </w:r>
    </w:p>
    <w:p>
      <w:pPr>
        <w:snapToGrid w:val="0"/>
        <w:spacing w:line="640" w:lineRule="exact"/>
        <w:ind w:firstLine="645"/>
        <w:rPr>
          <w:rFonts w:hint="eastAsia" w:ascii="仿宋" w:hAnsi="仿宋" w:eastAsia="仿宋" w:cs="宋体"/>
          <w:color w:val="auto"/>
          <w:kern w:val="0"/>
          <w:sz w:val="32"/>
          <w:szCs w:val="32"/>
        </w:rPr>
      </w:pPr>
    </w:p>
    <w:p>
      <w:pPr>
        <w:widowControl/>
        <w:snapToGrid w:val="0"/>
        <w:spacing w:line="640" w:lineRule="exact"/>
        <w:jc w:val="center"/>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章 附则</w:t>
      </w:r>
    </w:p>
    <w:p>
      <w:pPr>
        <w:widowControl/>
        <w:snapToGrid w:val="0"/>
        <w:spacing w:line="640" w:lineRule="exact"/>
        <w:ind w:firstLine="544"/>
        <w:rPr>
          <w:rFonts w:hint="eastAsia" w:ascii="仿宋" w:hAnsi="仿宋" w:eastAsia="仿宋" w:cs="宋体"/>
          <w:color w:val="auto"/>
          <w:kern w:val="0"/>
          <w:sz w:val="32"/>
          <w:szCs w:val="32"/>
        </w:rPr>
      </w:pPr>
      <w:r>
        <w:rPr>
          <w:rFonts w:hint="eastAsia" w:ascii="仿宋" w:hAnsi="仿宋" w:eastAsia="楷体_GB2312"/>
          <w:bCs/>
          <w:color w:val="auto"/>
          <w:sz w:val="32"/>
        </w:rPr>
        <w:t>第三十</w:t>
      </w:r>
      <w:r>
        <w:rPr>
          <w:rFonts w:hint="eastAsia" w:ascii="仿宋" w:hAnsi="仿宋" w:eastAsia="楷体_GB2312"/>
          <w:bCs/>
          <w:color w:val="auto"/>
          <w:sz w:val="32"/>
          <w:lang w:val="en-US" w:eastAsia="zh-CN"/>
        </w:rPr>
        <w:t>二</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本</w:t>
      </w:r>
      <w:r>
        <w:rPr>
          <w:rFonts w:hint="eastAsia" w:ascii="仿宋" w:hAnsi="仿宋" w:eastAsia="仿宋" w:cs="宋体"/>
          <w:color w:val="auto"/>
          <w:kern w:val="0"/>
          <w:sz w:val="32"/>
          <w:szCs w:val="32"/>
          <w:lang w:val="en-US" w:eastAsia="zh-CN"/>
        </w:rPr>
        <w:t>实施细则</w:t>
      </w:r>
      <w:r>
        <w:rPr>
          <w:rFonts w:hint="eastAsia" w:ascii="仿宋" w:hAnsi="仿宋" w:eastAsia="仿宋" w:cs="宋体"/>
          <w:color w:val="auto"/>
          <w:kern w:val="0"/>
          <w:sz w:val="32"/>
          <w:szCs w:val="32"/>
        </w:rPr>
        <w:t>所指珠三角地区包括广州、深圳、东莞、佛山、中山、珠海、惠州、江门、肇庆市。</w:t>
      </w:r>
    </w:p>
    <w:p>
      <w:pPr>
        <w:pStyle w:val="5"/>
        <w:keepNext w:val="0"/>
        <w:keepLines w:val="0"/>
        <w:widowControl/>
        <w:suppressLineNumbers w:val="0"/>
        <w:spacing w:before="0" w:beforeAutospacing="0" w:after="0" w:afterAutospacing="0"/>
        <w:ind w:left="0"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偏远农村地区是指省内非珠三角地市县级以下乡镇执业药师存在明显缺口的地区。</w:t>
      </w:r>
    </w:p>
    <w:p>
      <w:pPr>
        <w:pStyle w:val="5"/>
        <w:keepNext w:val="0"/>
        <w:keepLines w:val="0"/>
        <w:widowControl/>
        <w:suppressLineNumbers w:val="0"/>
        <w:spacing w:before="0" w:beforeAutospacing="0" w:after="0" w:afterAutospacing="0"/>
        <w:ind w:left="0" w:right="0" w:firstLine="640" w:firstLineChars="200"/>
        <w:jc w:val="left"/>
        <w:rPr>
          <w:rFonts w:hint="eastAsia" w:ascii="仿宋" w:hAnsi="仿宋" w:eastAsia="仿宋" w:cs="仿宋"/>
          <w:color w:val="auto"/>
          <w:kern w:val="0"/>
          <w:sz w:val="32"/>
          <w:szCs w:val="32"/>
          <w:lang w:val="en-US" w:eastAsia="zh-CN"/>
        </w:rPr>
      </w:pPr>
      <w:r>
        <w:rPr>
          <w:rFonts w:hint="eastAsia" w:ascii="楷体_GB2312" w:hAnsi="楷体_GB2312" w:eastAsia="楷体_GB2312" w:cs="楷体_GB2312"/>
          <w:bCs w:val="0"/>
          <w:color w:val="auto"/>
          <w:kern w:val="0"/>
          <w:sz w:val="32"/>
          <w:szCs w:val="32"/>
        </w:rPr>
        <w:t>第三十</w:t>
      </w:r>
      <w:r>
        <w:rPr>
          <w:rFonts w:hint="eastAsia" w:ascii="楷体_GB2312" w:hAnsi="楷体_GB2312" w:eastAsia="楷体_GB2312" w:cs="楷体_GB2312"/>
          <w:bCs w:val="0"/>
          <w:color w:val="auto"/>
          <w:kern w:val="0"/>
          <w:sz w:val="32"/>
          <w:szCs w:val="32"/>
          <w:lang w:val="en-US" w:eastAsia="zh-CN"/>
        </w:rPr>
        <w:t>三</w:t>
      </w:r>
      <w:r>
        <w:rPr>
          <w:rFonts w:hint="eastAsia" w:ascii="楷体_GB2312" w:hAnsi="楷体_GB2312" w:eastAsia="楷体_GB2312" w:cs="楷体_GB2312"/>
          <w:bCs w:val="0"/>
          <w:color w:val="auto"/>
          <w:kern w:val="0"/>
          <w:sz w:val="32"/>
          <w:szCs w:val="32"/>
        </w:rPr>
        <w:t>条</w:t>
      </w:r>
      <w:r>
        <w:rPr>
          <w:rFonts w:hint="eastAsia" w:ascii="仿宋" w:hAnsi="仿宋" w:eastAsia="仿宋" w:cs="仿宋"/>
          <w:bCs w:val="0"/>
          <w:color w:val="auto"/>
          <w:kern w:val="0"/>
          <w:sz w:val="32"/>
          <w:szCs w:val="32"/>
          <w:lang w:val="en-US" w:eastAsia="zh-CN"/>
        </w:rPr>
        <w:t xml:space="preserve"> </w:t>
      </w:r>
      <w:r>
        <w:rPr>
          <w:rFonts w:hint="eastAsia" w:ascii="仿宋" w:hAnsi="仿宋" w:eastAsia="仿宋" w:cs="仿宋"/>
          <w:color w:val="auto"/>
          <w:kern w:val="0"/>
          <w:sz w:val="32"/>
          <w:szCs w:val="32"/>
          <w:lang w:val="en-US" w:eastAsia="zh-CN"/>
        </w:rPr>
        <w:t>本实施细则所指其他药学技术人员包括卫生（药）系列职称（含药师、主管药师、副主任药师、主任药师）。</w:t>
      </w:r>
    </w:p>
    <w:p>
      <w:pPr>
        <w:widowControl w:val="0"/>
        <w:snapToGrid w:val="0"/>
        <w:spacing w:line="640" w:lineRule="exact"/>
        <w:ind w:firstLine="645"/>
        <w:rPr>
          <w:rFonts w:hint="eastAsia" w:ascii="仿宋" w:hAnsi="仿宋" w:eastAsia="仿宋" w:cs="仿宋"/>
          <w:color w:val="auto"/>
          <w:kern w:val="0"/>
          <w:sz w:val="32"/>
          <w:szCs w:val="32"/>
          <w:lang w:val="en-US" w:eastAsia="zh-CN"/>
        </w:rPr>
      </w:pPr>
      <w:r>
        <w:rPr>
          <w:rFonts w:hint="eastAsia" w:ascii="楷体_GB2312" w:hAnsi="楷体_GB2312" w:eastAsia="楷体_GB2312" w:cs="楷体_GB2312"/>
          <w:bCs w:val="0"/>
          <w:color w:val="auto"/>
          <w:kern w:val="0"/>
          <w:sz w:val="32"/>
          <w:szCs w:val="32"/>
          <w:lang w:val="en-US" w:eastAsia="zh-CN"/>
        </w:rPr>
        <w:t xml:space="preserve">第三十四条 </w:t>
      </w:r>
      <w:r>
        <w:rPr>
          <w:rFonts w:hint="eastAsia" w:ascii="仿宋" w:hAnsi="仿宋" w:eastAsia="仿宋" w:cs="仿宋"/>
          <w:color w:val="auto"/>
          <w:kern w:val="0"/>
          <w:sz w:val="32"/>
          <w:szCs w:val="32"/>
          <w:lang w:val="en-US" w:eastAsia="zh-CN"/>
        </w:rPr>
        <w:t>各地级以上市药品监管部门可根据本实施细则，结合辖区实际情况制定高于本</w:t>
      </w:r>
      <w:r>
        <w:rPr>
          <w:rFonts w:hint="eastAsia" w:ascii="仿宋" w:hAnsi="仿宋" w:eastAsia="仿宋" w:cs="宋体"/>
          <w:color w:val="auto"/>
          <w:kern w:val="0"/>
          <w:sz w:val="32"/>
          <w:szCs w:val="32"/>
          <w:lang w:val="en-US" w:eastAsia="zh-CN"/>
        </w:rPr>
        <w:t>细则</w:t>
      </w:r>
      <w:r>
        <w:rPr>
          <w:rFonts w:hint="eastAsia" w:ascii="仿宋" w:hAnsi="仿宋" w:eastAsia="仿宋" w:cs="仿宋"/>
          <w:color w:val="auto"/>
          <w:kern w:val="0"/>
          <w:sz w:val="32"/>
          <w:szCs w:val="32"/>
          <w:lang w:val="en-US" w:eastAsia="zh-CN"/>
        </w:rPr>
        <w:t>的具体实施细则。</w:t>
      </w:r>
    </w:p>
    <w:p>
      <w:pPr>
        <w:snapToGrid w:val="0"/>
        <w:spacing w:line="640" w:lineRule="exact"/>
        <w:ind w:firstLine="636" w:firstLineChars="199"/>
        <w:rPr>
          <w:rFonts w:hint="eastAsia" w:ascii="仿宋" w:hAnsi="仿宋" w:eastAsia="仿宋" w:cs="宋体"/>
          <w:color w:val="auto"/>
          <w:kern w:val="0"/>
          <w:sz w:val="32"/>
          <w:szCs w:val="32"/>
        </w:rPr>
      </w:pPr>
      <w:r>
        <w:rPr>
          <w:rFonts w:hint="eastAsia" w:ascii="仿宋" w:hAnsi="仿宋" w:eastAsia="楷体_GB2312"/>
          <w:bCs/>
          <w:color w:val="auto"/>
          <w:sz w:val="32"/>
        </w:rPr>
        <w:t>第三</w:t>
      </w:r>
      <w:r>
        <w:rPr>
          <w:rFonts w:hint="eastAsia" w:ascii="仿宋" w:hAnsi="仿宋" w:eastAsia="楷体_GB2312"/>
          <w:bCs/>
          <w:color w:val="auto"/>
          <w:sz w:val="32"/>
          <w:lang w:val="en-US" w:eastAsia="zh-CN"/>
        </w:rPr>
        <w:t>十五</w:t>
      </w:r>
      <w:r>
        <w:rPr>
          <w:rFonts w:hint="eastAsia" w:ascii="仿宋" w:hAnsi="仿宋" w:eastAsia="楷体_GB2312"/>
          <w:bCs/>
          <w:color w:val="auto"/>
          <w:sz w:val="32"/>
        </w:rPr>
        <w:t>条</w:t>
      </w:r>
      <w:r>
        <w:rPr>
          <w:rFonts w:hint="eastAsia" w:ascii="仿宋" w:hAnsi="仿宋" w:eastAsia="仿宋" w:cs="宋体"/>
          <w:color w:val="auto"/>
          <w:kern w:val="0"/>
          <w:sz w:val="32"/>
          <w:szCs w:val="32"/>
        </w:rPr>
        <w:t xml:space="preserve"> 本</w:t>
      </w:r>
      <w:r>
        <w:rPr>
          <w:rFonts w:hint="eastAsia" w:ascii="仿宋" w:hAnsi="仿宋" w:eastAsia="仿宋" w:cs="宋体"/>
          <w:color w:val="auto"/>
          <w:kern w:val="0"/>
          <w:sz w:val="32"/>
          <w:szCs w:val="32"/>
          <w:lang w:val="en-US" w:eastAsia="zh-CN"/>
        </w:rPr>
        <w:t>细则</w:t>
      </w:r>
      <w:r>
        <w:rPr>
          <w:rFonts w:hint="eastAsia" w:ascii="仿宋" w:hAnsi="仿宋" w:eastAsia="仿宋" w:cs="宋体"/>
          <w:color w:val="auto"/>
          <w:kern w:val="0"/>
          <w:sz w:val="32"/>
          <w:szCs w:val="32"/>
        </w:rPr>
        <w:t>自</w:t>
      </w:r>
      <w:r>
        <w:rPr>
          <w:rFonts w:hint="eastAsia" w:ascii="仿宋" w:hAnsi="仿宋" w:eastAsia="仿宋" w:cs="宋体"/>
          <w:color w:val="auto"/>
          <w:kern w:val="0"/>
          <w:sz w:val="32"/>
          <w:szCs w:val="32"/>
          <w:lang w:val="en-US" w:eastAsia="zh-CN"/>
        </w:rPr>
        <w:t>2021</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日起施行</w:t>
      </w:r>
      <w:r>
        <w:rPr>
          <w:rFonts w:hint="eastAsia" w:ascii="仿宋" w:hAnsi="仿宋" w:eastAsia="仿宋" w:cs="宋体"/>
          <w:color w:val="auto"/>
          <w:kern w:val="0"/>
          <w:sz w:val="32"/>
          <w:szCs w:val="32"/>
          <w:lang w:eastAsia="zh-CN"/>
        </w:rPr>
        <w:t>。</w:t>
      </w:r>
    </w:p>
    <w:p>
      <w:pPr>
        <w:rPr>
          <w:color w:val="auto"/>
        </w:rPr>
      </w:pPr>
    </w:p>
    <w:p>
      <w:pPr>
        <w:rPr>
          <w:color w:val="auto"/>
        </w:rPr>
      </w:pPr>
    </w:p>
    <w:p>
      <w:pPr>
        <w:rPr>
          <w:color w:val="auto"/>
        </w:rPr>
      </w:pPr>
    </w:p>
    <w:p>
      <w:pPr>
        <w:rPr>
          <w:color w:val="auto"/>
        </w:rPr>
      </w:pPr>
    </w:p>
    <w:p>
      <w:pPr>
        <w:rPr>
          <w:color w:val="auto"/>
        </w:rPr>
      </w:pPr>
    </w:p>
    <w:sectPr>
      <w:footerReference r:id="rId3" w:type="default"/>
      <w:pgSz w:w="11906" w:h="16838"/>
      <w:pgMar w:top="1440" w:right="1803" w:bottom="1440" w:left="1803" w:header="851" w:footer="992" w:gutter="0"/>
      <w:pgBorders w:offsetFrom="page">
        <w:top w:val="none" w:sz="0" w:space="0"/>
        <w:left w:val="none" w:sz="0" w:space="0"/>
        <w:bottom w:val="none" w:sz="0" w:space="0"/>
        <w:right w:val="none" w:sz="0" w:space="0"/>
      </w:pgBorders>
      <w:pgNumType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ind w:left="210" w:leftChars="100"/>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fldChar w:fldCharType="separate"/>
    </w:r>
    <w:r>
      <w:rPr>
        <w:rFonts w:hint="eastAsia" w:ascii="宋体" w:hAnsi="宋体" w:eastAsia="宋体" w:cs="宋体"/>
        <w:kern w:val="2"/>
        <w:sz w:val="28"/>
        <w:szCs w:val="28"/>
      </w:rPr>
      <w:fldChar w:fldCharType="end"/>
    </w:r>
  </w:p>
  <w:p>
    <w:pPr>
      <w:pStyle w:val="3"/>
      <w:widowControl/>
      <w:ind w:left="210" w:leftChars="100" w:right="210" w:rightChars="100"/>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idowControl/>
                            <w:ind w:left="210" w:leftChars="100" w:right="210" w:rightChars="100"/>
                          </w:pPr>
                          <w:r>
                            <w:rPr>
                              <w:rStyle w:val="15"/>
                              <w:rFonts w:hint="eastAsia" w:ascii="宋体" w:hAnsi="宋体" w:eastAsia="宋体" w:cs="宋体"/>
                              <w:sz w:val="28"/>
                              <w:szCs w:val="28"/>
                            </w:rPr>
                            <w:t xml:space="preserve">— </w:t>
                          </w:r>
                          <w:r>
                            <w:rPr>
                              <w:rFonts w:hint="eastAsia" w:ascii="宋体" w:hAnsi="宋体" w:eastAsia="宋体" w:cs="宋体"/>
                              <w:kern w:val="2"/>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kern w:val="2"/>
                              <w:sz w:val="28"/>
                              <w:szCs w:val="28"/>
                            </w:rPr>
                            <w:fldChar w:fldCharType="separate"/>
                          </w:r>
                          <w:r>
                            <w:rPr>
                              <w:rStyle w:val="15"/>
                              <w:rFonts w:hint="eastAsia" w:ascii="宋体" w:hAnsi="宋体" w:eastAsia="宋体" w:cs="宋体"/>
                              <w:sz w:val="28"/>
                              <w:szCs w:val="28"/>
                            </w:rPr>
                            <w:t>11</w:t>
                          </w:r>
                          <w:r>
                            <w:rPr>
                              <w:rFonts w:hint="eastAsia" w:ascii="宋体" w:hAnsi="宋体" w:eastAsia="宋体" w:cs="宋体"/>
                              <w:kern w:val="2"/>
                              <w:sz w:val="28"/>
                              <w:szCs w:val="28"/>
                            </w:rPr>
                            <w:fldChar w:fldCharType="end"/>
                          </w:r>
                          <w:r>
                            <w:rPr>
                              <w:rStyle w:val="15"/>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widowControl/>
                      <w:ind w:left="210" w:leftChars="100" w:right="210" w:rightChars="100"/>
                    </w:pPr>
                    <w:r>
                      <w:rPr>
                        <w:rStyle w:val="15"/>
                        <w:rFonts w:hint="eastAsia" w:ascii="宋体" w:hAnsi="宋体" w:eastAsia="宋体" w:cs="宋体"/>
                        <w:sz w:val="28"/>
                        <w:szCs w:val="28"/>
                      </w:rPr>
                      <w:t xml:space="preserve">— </w:t>
                    </w:r>
                    <w:r>
                      <w:rPr>
                        <w:rFonts w:hint="eastAsia" w:ascii="宋体" w:hAnsi="宋体" w:eastAsia="宋体" w:cs="宋体"/>
                        <w:kern w:val="2"/>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kern w:val="2"/>
                        <w:sz w:val="28"/>
                        <w:szCs w:val="28"/>
                      </w:rPr>
                      <w:fldChar w:fldCharType="separate"/>
                    </w:r>
                    <w:r>
                      <w:rPr>
                        <w:rStyle w:val="15"/>
                        <w:rFonts w:hint="eastAsia" w:ascii="宋体" w:hAnsi="宋体" w:eastAsia="宋体" w:cs="宋体"/>
                        <w:sz w:val="28"/>
                        <w:szCs w:val="28"/>
                      </w:rPr>
                      <w:t>11</w:t>
                    </w:r>
                    <w:r>
                      <w:rPr>
                        <w:rFonts w:hint="eastAsia" w:ascii="宋体" w:hAnsi="宋体" w:eastAsia="宋体" w:cs="宋体"/>
                        <w:kern w:val="2"/>
                        <w:sz w:val="28"/>
                        <w:szCs w:val="28"/>
                      </w:rPr>
                      <w:fldChar w:fldCharType="end"/>
                    </w:r>
                    <w:r>
                      <w:rPr>
                        <w:rStyle w:val="15"/>
                        <w:rFonts w:hint="eastAsia" w:ascii="宋体" w:hAnsi="宋体" w:eastAsia="宋体" w:cs="宋体"/>
                        <w:sz w:val="28"/>
                        <w:szCs w:val="28"/>
                      </w:rPr>
                      <w:t xml:space="preserve"> —</w:t>
                    </w:r>
                  </w:p>
                </w:txbxContent>
              </v:textbox>
            </v:shape>
          </w:pict>
        </mc:Fallback>
      </mc:AlternateContent>
    </w:r>
  </w:p>
  <w:p>
    <w:pPr>
      <w:pStyle w:val="3"/>
      <w:widowControl/>
      <w:ind w:left="0" w:right="360" w:firstLine="360"/>
      <w:rPr>
        <w:rFonts w:hint="default" w:ascii="Times New Roman" w:hAnsi="Times New Roman" w:eastAsia="仿宋" w:cs="Times New Roman"/>
        <w:kern w:val="2"/>
        <w:sz w:val="18"/>
        <w:szCs w:val="18"/>
      </w:rPr>
    </w:pPr>
    <w:r>
      <w:rPr>
        <w:rFonts w:hint="default" w:ascii="Times New Roman" w:hAnsi="Times New Roman" w:eastAsia="仿宋" w:cs="Times New Roman"/>
        <w:kern w:val="2"/>
        <w:sz w:val="18"/>
        <w:szCs w:val="1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2A7C6"/>
    <w:multiLevelType w:val="singleLevel"/>
    <w:tmpl w:val="59B2A7C6"/>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4258D"/>
    <w:rsid w:val="01A005CD"/>
    <w:rsid w:val="02521F55"/>
    <w:rsid w:val="034354F8"/>
    <w:rsid w:val="08815A73"/>
    <w:rsid w:val="0C4D0A91"/>
    <w:rsid w:val="0EA60658"/>
    <w:rsid w:val="111E3CA3"/>
    <w:rsid w:val="12007ACB"/>
    <w:rsid w:val="15776383"/>
    <w:rsid w:val="16C43F43"/>
    <w:rsid w:val="16FE20BA"/>
    <w:rsid w:val="1C9B46D6"/>
    <w:rsid w:val="23141692"/>
    <w:rsid w:val="258B732E"/>
    <w:rsid w:val="2B164A2E"/>
    <w:rsid w:val="2E604CF1"/>
    <w:rsid w:val="335C3731"/>
    <w:rsid w:val="38654C5E"/>
    <w:rsid w:val="3A013C8F"/>
    <w:rsid w:val="3C04258D"/>
    <w:rsid w:val="3D6E7158"/>
    <w:rsid w:val="400817A7"/>
    <w:rsid w:val="477F7D21"/>
    <w:rsid w:val="47FF737C"/>
    <w:rsid w:val="48466C6E"/>
    <w:rsid w:val="578A68F7"/>
    <w:rsid w:val="58F82AD4"/>
    <w:rsid w:val="59DE2964"/>
    <w:rsid w:val="5E087195"/>
    <w:rsid w:val="5E21186F"/>
    <w:rsid w:val="5EF34626"/>
    <w:rsid w:val="619F57AB"/>
    <w:rsid w:val="62484EE0"/>
    <w:rsid w:val="62AB08C0"/>
    <w:rsid w:val="62B442EB"/>
    <w:rsid w:val="63030C7D"/>
    <w:rsid w:val="65C42D11"/>
    <w:rsid w:val="69E23E04"/>
    <w:rsid w:val="6A3714A8"/>
    <w:rsid w:val="6CB21AD4"/>
    <w:rsid w:val="6E631CD7"/>
    <w:rsid w:val="726A04E4"/>
    <w:rsid w:val="76355D27"/>
    <w:rsid w:val="77763EC6"/>
    <w:rsid w:val="78EB2D8A"/>
    <w:rsid w:val="794C3EEB"/>
    <w:rsid w:val="79A95FD5"/>
    <w:rsid w:val="7AFB2585"/>
    <w:rsid w:val="7EEE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仿宋" w:cs="Times New Roman"/>
      <w:kern w:val="2"/>
      <w:sz w:val="18"/>
      <w:szCs w:val="18"/>
      <w:lang w:val="en-US" w:eastAsia="zh-CN" w:bidi="ar"/>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333333"/>
      <w:u w:val="none"/>
    </w:rPr>
  </w:style>
  <w:style w:type="character" w:styleId="8">
    <w:name w:val="HTML Definition"/>
    <w:basedOn w:val="6"/>
    <w:uiPriority w:val="0"/>
  </w:style>
  <w:style w:type="character" w:styleId="9">
    <w:name w:val="HTML Variable"/>
    <w:basedOn w:val="6"/>
    <w:uiPriority w:val="0"/>
  </w:style>
  <w:style w:type="character" w:styleId="10">
    <w:name w:val="Hyperlink"/>
    <w:basedOn w:val="6"/>
    <w:qFormat/>
    <w:uiPriority w:val="0"/>
    <w:rPr>
      <w:color w:val="333333"/>
      <w:u w:val="none"/>
    </w:rPr>
  </w:style>
  <w:style w:type="character" w:styleId="11">
    <w:name w:val="HTML Code"/>
    <w:basedOn w:val="6"/>
    <w:qFormat/>
    <w:uiPriority w:val="0"/>
    <w:rPr>
      <w:rFonts w:ascii="Courier New" w:hAnsi="Courier New"/>
      <w:sz w:val="20"/>
    </w:rPr>
  </w:style>
  <w:style w:type="character" w:styleId="12">
    <w:name w:val="HTML Cite"/>
    <w:basedOn w:val="6"/>
    <w:qFormat/>
    <w:uiPriority w:val="0"/>
  </w:style>
  <w:style w:type="character" w:customStyle="1" w:styleId="14">
    <w:name w:val="10"/>
    <w:basedOn w:val="6"/>
    <w:qFormat/>
    <w:uiPriority w:val="0"/>
    <w:rPr>
      <w:rFonts w:hint="default" w:ascii="Times New Roman" w:hAnsi="Times New Roman" w:cs="Times New Roman"/>
    </w:rPr>
  </w:style>
  <w:style w:type="character" w:customStyle="1" w:styleId="15">
    <w:name w:val="16"/>
    <w:basedOn w:val="6"/>
    <w:qFormat/>
    <w:uiPriority w:val="0"/>
    <w:rPr>
      <w:rFonts w:hint="default" w:ascii="Times New Roman" w:hAnsi="Times New Roman" w:cs="Times New Roman"/>
    </w:rPr>
  </w:style>
  <w:style w:type="character" w:customStyle="1" w:styleId="16">
    <w:name w:val="15"/>
    <w:basedOn w:val="6"/>
    <w:qFormat/>
    <w:uiPriority w:val="0"/>
    <w:rPr>
      <w:rFonts w:hint="default" w:ascii="Times New Roman" w:hAnsi="Times New Roman" w:cs="Times New Roman"/>
      <w:sz w:val="18"/>
      <w:szCs w:val="18"/>
    </w:rPr>
  </w:style>
  <w:style w:type="character" w:customStyle="1" w:styleId="17">
    <w:name w:val="17"/>
    <w:basedOn w:val="6"/>
    <w:qFormat/>
    <w:uiPriority w:val="0"/>
    <w:rPr>
      <w:rFonts w:hint="default" w:ascii="Times New Roman" w:hAnsi="Times New Roman" w:cs="Times New Roman"/>
      <w:sz w:val="18"/>
      <w:szCs w:val="18"/>
    </w:rPr>
  </w:style>
  <w:style w:type="character" w:customStyle="1" w:styleId="18">
    <w:name w:val="txtbg"/>
    <w:basedOn w:val="6"/>
    <w:qFormat/>
    <w:uiPriority w:val="0"/>
    <w:rPr>
      <w:shd w:val="clear" w:fill="000000"/>
    </w:rPr>
  </w:style>
  <w:style w:type="character" w:customStyle="1" w:styleId="19">
    <w:name w:val="fontsize"/>
    <w:basedOn w:val="6"/>
    <w:qFormat/>
    <w:uiPriority w:val="0"/>
  </w:style>
  <w:style w:type="character" w:customStyle="1" w:styleId="20">
    <w:name w:val="llcs"/>
    <w:basedOn w:val="6"/>
    <w:qFormat/>
    <w:uiPriority w:val="0"/>
    <w:rPr>
      <w:vanish/>
    </w:rPr>
  </w:style>
  <w:style w:type="character" w:customStyle="1" w:styleId="21">
    <w:name w:val="txt"/>
    <w:basedOn w:val="6"/>
    <w:qFormat/>
    <w:uiPriority w:val="0"/>
    <w:rPr>
      <w:color w:val="FFFFFF"/>
      <w:sz w:val="19"/>
      <w:szCs w:val="1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2021-05-15T09:26:00Z</dcterms:created>
  <dc:creator>二处</dc:creator>
  <cp:lastModifiedBy>gdfda</cp:lastModifiedBy>
  <cp:lastPrinted>2021-06-09T03:56:44Z</cp:lastPrinted>
  <dcterms:modified xsi:type="dcterms:W3CDTF">2021-06-09T06:24:26Z</dcterms:modified>
  <dc:title>广东省药品零售企业开办验收实施细则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2483D587488442C8862580B3F5E60944</vt:lpwstr>
  </property>
</Properties>
</file>