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adjustRightInd/>
        <w:snapToGrid/>
        <w:spacing w:line="590" w:lineRule="exact"/>
        <w:jc w:val="center"/>
        <w:rPr>
          <w:rFonts w:hint="eastAsia" w:ascii="方正小标宋简体" w:hAnsi="方正小标宋简体" w:eastAsia="方正小标宋简体" w:cs="方正小标宋简体"/>
          <w:b w:val="0"/>
          <w:bCs w:val="0"/>
          <w:color w:val="000000"/>
          <w:sz w:val="44"/>
          <w:szCs w:val="44"/>
        </w:rPr>
      </w:pPr>
      <w:bookmarkStart w:id="7" w:name="_GoBack"/>
      <w:r>
        <w:rPr>
          <w:rFonts w:hint="eastAsia" w:ascii="方正小标宋简体" w:hAnsi="方正小标宋简体" w:eastAsia="方正小标宋简体" w:cs="方正小标宋简体"/>
          <w:b w:val="0"/>
          <w:bCs w:val="0"/>
          <w:color w:val="000000"/>
          <w:sz w:val="44"/>
          <w:szCs w:val="44"/>
        </w:rPr>
        <w:t>广东省医疗机构制剂“岭南名方”申报指南</w:t>
      </w:r>
    </w:p>
    <w:bookmarkEnd w:id="7"/>
    <w:p>
      <w:pPr>
        <w:keepNext w:val="0"/>
        <w:keepLines w:val="0"/>
        <w:pageBreakBefore w:val="0"/>
        <w:kinsoku/>
        <w:wordWrap/>
        <w:overflowPunct/>
        <w:topLinePunct w:val="0"/>
        <w:autoSpaceDE w:val="0"/>
        <w:autoSpaceDN w:val="0"/>
        <w:bidi w:val="0"/>
        <w:adjustRightInd/>
        <w:snapToGrid/>
        <w:spacing w:line="590" w:lineRule="exact"/>
        <w:ind w:firstLine="640" w:firstLineChars="200"/>
        <w:rPr>
          <w:rFonts w:hint="eastAsia" w:ascii="仿宋" w:hAnsi="仿宋" w:eastAsia="仿宋" w:cs="仿宋"/>
          <w:color w:val="000000"/>
          <w:kern w:val="0"/>
          <w:sz w:val="32"/>
          <w:szCs w:val="32"/>
          <w:lang w:val="zh-CN" w:bidi="zh-CN"/>
        </w:rPr>
      </w:pPr>
    </w:p>
    <w:p>
      <w:pPr>
        <w:keepNext w:val="0"/>
        <w:keepLines w:val="0"/>
        <w:pageBreakBefore w:val="0"/>
        <w:kinsoku/>
        <w:wordWrap/>
        <w:overflowPunct/>
        <w:topLinePunct w:val="0"/>
        <w:autoSpaceDE w:val="0"/>
        <w:autoSpaceDN w:val="0"/>
        <w:bidi w:val="0"/>
        <w:adjustRightInd/>
        <w:snapToGrid/>
        <w:spacing w:line="590" w:lineRule="exact"/>
        <w:ind w:firstLine="640" w:firstLineChars="200"/>
        <w:rPr>
          <w:rFonts w:hint="eastAsia" w:ascii="仿宋" w:hAnsi="仿宋" w:eastAsia="仿宋" w:cs="仿宋"/>
          <w:color w:val="000000"/>
          <w:kern w:val="0"/>
          <w:sz w:val="32"/>
          <w:szCs w:val="32"/>
          <w:lang w:val="zh-CN" w:bidi="zh-CN"/>
        </w:rPr>
      </w:pPr>
      <w:r>
        <w:rPr>
          <w:rFonts w:hint="eastAsia" w:ascii="仿宋" w:hAnsi="仿宋" w:eastAsia="仿宋" w:cs="仿宋"/>
          <w:color w:val="000000"/>
          <w:kern w:val="0"/>
          <w:sz w:val="32"/>
          <w:szCs w:val="32"/>
          <w:lang w:val="zh-CN" w:bidi="zh-CN"/>
        </w:rPr>
        <w:t>为落实《广东省药品监督管理局 广东省医疗保障局</w:t>
      </w:r>
      <w:r>
        <w:rPr>
          <w:rFonts w:hint="eastAsia" w:ascii="仿宋" w:hAnsi="仿宋" w:eastAsia="仿宋" w:cs="仿宋"/>
          <w:color w:val="000000"/>
          <w:kern w:val="0"/>
          <w:sz w:val="32"/>
          <w:szCs w:val="32"/>
          <w:lang w:val="en-US" w:bidi="zh-CN"/>
        </w:rPr>
        <w:t xml:space="preserve"> </w:t>
      </w:r>
      <w:r>
        <w:rPr>
          <w:rFonts w:hint="eastAsia" w:ascii="仿宋" w:hAnsi="仿宋" w:eastAsia="仿宋" w:cs="仿宋"/>
          <w:color w:val="000000"/>
          <w:kern w:val="0"/>
          <w:sz w:val="32"/>
          <w:szCs w:val="32"/>
          <w:lang w:val="zh-CN" w:bidi="zh-CN"/>
        </w:rPr>
        <w:t>广东省中医药局关于开展广东省医疗机构制剂“岭南名方”遴选试点工作的通知》（粤药品监管局药一〔2022〕82号）的工作要求，现制定本</w:t>
      </w:r>
      <w:r>
        <w:rPr>
          <w:rFonts w:hint="eastAsia" w:ascii="仿宋" w:hAnsi="仿宋" w:eastAsia="仿宋" w:cs="仿宋"/>
          <w:color w:val="000000"/>
          <w:kern w:val="0"/>
          <w:sz w:val="32"/>
          <w:szCs w:val="32"/>
          <w:lang w:val="zh-CN" w:eastAsia="zh-CN" w:bidi="zh-CN"/>
        </w:rPr>
        <w:t>指南</w:t>
      </w:r>
      <w:r>
        <w:rPr>
          <w:rFonts w:hint="eastAsia" w:ascii="仿宋" w:hAnsi="仿宋" w:eastAsia="仿宋" w:cs="仿宋"/>
          <w:color w:val="000000"/>
          <w:kern w:val="0"/>
          <w:sz w:val="32"/>
          <w:szCs w:val="32"/>
          <w:lang w:val="zh-CN" w:bidi="zh-CN"/>
        </w:rPr>
        <w:t>，指导广东省内医疗机构开展“岭南名方”品种申报。</w:t>
      </w:r>
    </w:p>
    <w:p>
      <w:pPr>
        <w:keepNext w:val="0"/>
        <w:keepLines w:val="0"/>
        <w:pageBreakBefore w:val="0"/>
        <w:kinsoku/>
        <w:wordWrap/>
        <w:overflowPunct/>
        <w:topLinePunct w:val="0"/>
        <w:bidi w:val="0"/>
        <w:adjustRightInd/>
        <w:snapToGrid/>
        <w:spacing w:line="590" w:lineRule="exac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一、适用范围</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本指南适用于符合条件的医疗机构中药制剂申报广东省医疗机构制剂“岭南名方”的相关工作。</w:t>
      </w:r>
    </w:p>
    <w:p>
      <w:pPr>
        <w:keepNext w:val="0"/>
        <w:keepLines w:val="0"/>
        <w:pageBreakBefore w:val="0"/>
        <w:kinsoku/>
        <w:wordWrap/>
        <w:overflowPunct/>
        <w:topLinePunct w:val="0"/>
        <w:bidi w:val="0"/>
        <w:adjustRightInd/>
        <w:snapToGrid/>
        <w:spacing w:line="590" w:lineRule="exac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二、组织方式</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申报单位根据本指南要求自行申报，按照附件模板填报项目申报表并提交有关申报材料，经广东省医疗机构制剂“岭南名方”遴选工作专班按程序进行资料初审、专家组遴选、公示、确认后，评为广东省医疗机构制剂“岭南名方”，并纳入广东省医疗机构制剂“岭南名方”品种库动态管理。</w:t>
      </w:r>
    </w:p>
    <w:p>
      <w:pPr>
        <w:keepNext w:val="0"/>
        <w:keepLines w:val="0"/>
        <w:pageBreakBefore w:val="0"/>
        <w:kinsoku/>
        <w:wordWrap/>
        <w:overflowPunct/>
        <w:topLinePunct w:val="0"/>
        <w:bidi w:val="0"/>
        <w:adjustRightInd/>
        <w:snapToGrid/>
        <w:spacing w:line="590" w:lineRule="exact"/>
        <w:ind w:firstLine="640" w:firstLineChars="20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三、申报条件</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（一）申报单位应为广东省内具有当地卫生行政部门颁发《医疗机构执业许可证》，且《医疗机构执业许可证》尚在有效期内的医疗机构。</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（二）申报的制剂应为中药制剂，须取得广东省医疗机构制剂注册或备案文号，且具有5年以上临床使用历史（计算时间至申报截止时间），临床使用量大、疗效显著。</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（三）申报的制剂质量标准，应符合现行法律法规、标准、指导原则等规定，原则上不得低于《广东省医疗机构制剂质量标准制定的指导原则（试行）》的要求，且在生产和使用期间未出现质量安全问题。</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（四）申报的“岭南名方”应为本医疗机构制剂中具有代表性的品种，原则上每家医疗机构单次申报不得超过5个。</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b w:val="0"/>
          <w:bCs w:val="0"/>
          <w:color w:val="000000"/>
          <w:kern w:val="0"/>
          <w:sz w:val="32"/>
          <w:szCs w:val="32"/>
          <w:lang w:val="en-US" w:bidi="zh-CN"/>
        </w:rPr>
      </w:pPr>
      <w:r>
        <w:rPr>
          <w:rFonts w:hint="eastAsia" w:ascii="仿宋" w:hAnsi="仿宋" w:eastAsia="仿宋" w:cs="仿宋"/>
          <w:b w:val="0"/>
          <w:bCs w:val="0"/>
          <w:color w:val="000000"/>
          <w:kern w:val="0"/>
          <w:sz w:val="32"/>
          <w:szCs w:val="32"/>
          <w:lang w:val="en-US" w:bidi="zh-CN"/>
        </w:rPr>
        <w:t>（五）否决项。申报的制剂品种如有以下情形的，不得参与申报：</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b w:val="0"/>
          <w:bCs w:val="0"/>
          <w:color w:val="000000"/>
          <w:kern w:val="0"/>
          <w:sz w:val="32"/>
          <w:szCs w:val="32"/>
          <w:lang w:val="zh-CN" w:bidi="zh-CN"/>
        </w:rPr>
      </w:pPr>
      <w:r>
        <w:rPr>
          <w:rFonts w:hint="eastAsia" w:ascii="仿宋" w:hAnsi="仿宋" w:eastAsia="仿宋" w:cs="仿宋"/>
          <w:b/>
          <w:bCs/>
          <w:color w:val="000000"/>
          <w:kern w:val="0"/>
          <w:sz w:val="32"/>
          <w:szCs w:val="32"/>
          <w:lang w:val="en-US" w:bidi="zh-CN"/>
        </w:rPr>
        <w:t>1.含有禁用药味。</w:t>
      </w:r>
      <w:r>
        <w:rPr>
          <w:rFonts w:hint="eastAsia" w:ascii="仿宋" w:hAnsi="仿宋" w:eastAsia="仿宋" w:cs="仿宋"/>
          <w:b w:val="0"/>
          <w:bCs w:val="0"/>
          <w:color w:val="000000"/>
          <w:kern w:val="0"/>
          <w:sz w:val="32"/>
          <w:szCs w:val="32"/>
          <w:lang w:val="zh-CN" w:bidi="zh-CN"/>
        </w:rPr>
        <w:t>含有监管部门明令禁止使用的现代毒理学证明有明显肝肾</w:t>
      </w:r>
      <w:r>
        <w:rPr>
          <w:rFonts w:hint="eastAsia" w:ascii="仿宋" w:hAnsi="仿宋" w:eastAsia="仿宋" w:cs="仿宋"/>
          <w:b w:val="0"/>
          <w:bCs w:val="0"/>
          <w:color w:val="000000"/>
          <w:kern w:val="0"/>
          <w:sz w:val="32"/>
          <w:szCs w:val="32"/>
          <w:lang w:val="en-US" w:bidi="zh-CN"/>
        </w:rPr>
        <w:t>等脏器</w:t>
      </w:r>
      <w:r>
        <w:rPr>
          <w:rFonts w:hint="eastAsia" w:ascii="仿宋" w:hAnsi="仿宋" w:eastAsia="仿宋" w:cs="仿宋"/>
          <w:b w:val="0"/>
          <w:bCs w:val="0"/>
          <w:color w:val="000000"/>
          <w:kern w:val="0"/>
          <w:sz w:val="32"/>
          <w:szCs w:val="32"/>
          <w:lang w:val="zh-CN" w:bidi="zh-CN"/>
        </w:rPr>
        <w:t>毒性的药味；</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b w:val="0"/>
          <w:bCs w:val="0"/>
          <w:color w:val="000000"/>
          <w:kern w:val="0"/>
          <w:sz w:val="32"/>
          <w:szCs w:val="32"/>
          <w:lang w:val="zh-CN" w:bidi="zh-CN"/>
        </w:rPr>
      </w:pPr>
      <w:r>
        <w:rPr>
          <w:rFonts w:hint="eastAsia" w:ascii="仿宋" w:hAnsi="仿宋" w:eastAsia="仿宋" w:cs="仿宋"/>
          <w:b/>
          <w:bCs/>
          <w:color w:val="000000"/>
          <w:kern w:val="0"/>
          <w:sz w:val="32"/>
          <w:szCs w:val="32"/>
          <w:lang w:val="en-US" w:bidi="zh-CN"/>
        </w:rPr>
        <w:t>2.含有有毒药味。</w:t>
      </w:r>
      <w:r>
        <w:rPr>
          <w:rFonts w:hint="eastAsia" w:ascii="仿宋" w:hAnsi="仿宋" w:eastAsia="仿宋" w:cs="仿宋"/>
          <w:b w:val="0"/>
          <w:bCs w:val="0"/>
          <w:color w:val="000000"/>
          <w:kern w:val="0"/>
          <w:sz w:val="32"/>
          <w:szCs w:val="32"/>
          <w:lang w:val="en-US" w:bidi="zh-CN"/>
        </w:rPr>
        <w:t>处方中如使用</w:t>
      </w:r>
      <w:r>
        <w:rPr>
          <w:rFonts w:hint="eastAsia" w:ascii="仿宋" w:hAnsi="仿宋" w:eastAsia="仿宋" w:cs="仿宋"/>
          <w:b w:val="0"/>
          <w:bCs w:val="0"/>
          <w:color w:val="000000"/>
          <w:kern w:val="0"/>
          <w:sz w:val="32"/>
          <w:szCs w:val="32"/>
          <w:lang w:val="zh-CN" w:bidi="zh-CN"/>
        </w:rPr>
        <w:t>有毒性及现代毒理学证明有毒性的药味，但无明确的中医理论或流派治法支持；</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b w:val="0"/>
          <w:bCs w:val="0"/>
          <w:color w:val="000000"/>
          <w:kern w:val="0"/>
          <w:sz w:val="32"/>
          <w:szCs w:val="32"/>
          <w:lang w:val="zh-CN" w:bidi="zh-CN"/>
        </w:rPr>
      </w:pPr>
      <w:r>
        <w:rPr>
          <w:rFonts w:hint="eastAsia" w:ascii="仿宋" w:hAnsi="仿宋" w:eastAsia="仿宋" w:cs="仿宋"/>
          <w:b/>
          <w:bCs/>
          <w:color w:val="000000"/>
          <w:kern w:val="0"/>
          <w:sz w:val="32"/>
          <w:szCs w:val="32"/>
          <w:lang w:val="en-US" w:bidi="zh-CN"/>
        </w:rPr>
        <w:t>3.存在配伍禁忌。</w:t>
      </w:r>
      <w:r>
        <w:rPr>
          <w:rFonts w:hint="eastAsia" w:ascii="仿宋" w:hAnsi="仿宋" w:eastAsia="仿宋" w:cs="仿宋"/>
          <w:b w:val="0"/>
          <w:bCs w:val="0"/>
          <w:color w:val="000000"/>
          <w:kern w:val="0"/>
          <w:sz w:val="32"/>
          <w:szCs w:val="32"/>
          <w:lang w:val="zh-CN" w:bidi="zh-CN"/>
        </w:rPr>
        <w:t>含有十八反、十九畏等配伍禁忌的，申报单位无法提供安全性方面的证明资料。</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b w:val="0"/>
          <w:bCs w:val="0"/>
          <w:color w:val="000000"/>
          <w:sz w:val="32"/>
          <w:szCs w:val="32"/>
          <w:lang w:val="en-US" w:eastAsia="zh-CN"/>
        </w:rPr>
      </w:pPr>
      <w:r>
        <w:rPr>
          <w:rFonts w:hint="eastAsia" w:ascii="仿宋" w:hAnsi="仿宋" w:eastAsia="仿宋" w:cs="仿宋"/>
          <w:b/>
          <w:bCs/>
          <w:color w:val="000000"/>
          <w:sz w:val="32"/>
          <w:szCs w:val="32"/>
          <w:lang w:val="en-US" w:eastAsia="zh-CN"/>
        </w:rPr>
        <w:t>4.存在</w:t>
      </w:r>
      <w:r>
        <w:rPr>
          <w:rFonts w:hint="eastAsia" w:ascii="仿宋" w:hAnsi="仿宋" w:eastAsia="仿宋" w:cs="仿宋"/>
          <w:b/>
          <w:bCs/>
          <w:color w:val="000000"/>
          <w:sz w:val="32"/>
          <w:szCs w:val="32"/>
          <w:lang w:val="zh-CN"/>
        </w:rPr>
        <w:t>安全隐患。</w:t>
      </w:r>
      <w:r>
        <w:rPr>
          <w:rFonts w:hint="eastAsia" w:ascii="仿宋" w:hAnsi="仿宋" w:eastAsia="仿宋" w:cs="仿宋"/>
          <w:b w:val="0"/>
          <w:bCs w:val="0"/>
          <w:color w:val="000000"/>
          <w:sz w:val="32"/>
          <w:szCs w:val="32"/>
          <w:lang w:val="zh-CN"/>
        </w:rPr>
        <w:t>近3年出现质量安全问题</w:t>
      </w:r>
      <w:r>
        <w:rPr>
          <w:rFonts w:hint="eastAsia" w:ascii="仿宋" w:hAnsi="仿宋" w:eastAsia="仿宋" w:cs="仿宋"/>
          <w:b w:val="0"/>
          <w:bCs w:val="0"/>
          <w:color w:val="000000"/>
          <w:sz w:val="32"/>
          <w:szCs w:val="32"/>
          <w:lang w:val="zh-CN" w:eastAsia="zh-CN"/>
        </w:rPr>
        <w:t>（计算时间为</w:t>
      </w:r>
      <w:r>
        <w:rPr>
          <w:rFonts w:hint="eastAsia" w:ascii="仿宋" w:hAnsi="仿宋" w:eastAsia="仿宋" w:cs="仿宋"/>
          <w:b w:val="0"/>
          <w:bCs w:val="0"/>
          <w:color w:val="000000"/>
          <w:sz w:val="32"/>
          <w:szCs w:val="32"/>
          <w:lang w:val="en-US" w:eastAsia="zh-CN"/>
        </w:rPr>
        <w:t>1月1日至12月31日，以下涉及“近几年”“几年内”的均依此</w:t>
      </w:r>
      <w:r>
        <w:rPr>
          <w:rFonts w:hint="eastAsia" w:ascii="仿宋" w:hAnsi="仿宋" w:eastAsia="仿宋" w:cs="仿宋"/>
          <w:b w:val="0"/>
          <w:bCs w:val="0"/>
          <w:color w:val="000000"/>
          <w:sz w:val="32"/>
          <w:szCs w:val="32"/>
          <w:lang w:val="zh-CN" w:eastAsia="zh-CN"/>
        </w:rPr>
        <w:t>）</w:t>
      </w:r>
      <w:r>
        <w:rPr>
          <w:rFonts w:hint="eastAsia" w:ascii="仿宋" w:hAnsi="仿宋" w:eastAsia="仿宋" w:cs="仿宋"/>
          <w:b w:val="0"/>
          <w:bCs w:val="0"/>
          <w:color w:val="000000"/>
          <w:sz w:val="32"/>
          <w:szCs w:val="32"/>
          <w:lang w:val="zh-CN"/>
        </w:rPr>
        <w:t>；如日常监管发现严重缺陷；出现抽检不合格；发生因质量引起的严重或有聚集性信号的药品不良事件等。</w:t>
      </w:r>
    </w:p>
    <w:p>
      <w:pPr>
        <w:keepNext w:val="0"/>
        <w:keepLines w:val="0"/>
        <w:pageBreakBefore w:val="0"/>
        <w:numPr>
          <w:ilvl w:val="0"/>
          <w:numId w:val="0"/>
        </w:numPr>
        <w:kinsoku/>
        <w:wordWrap/>
        <w:overflowPunct/>
        <w:topLinePunct w:val="0"/>
        <w:bidi w:val="0"/>
        <w:adjustRightInd/>
        <w:snapToGrid/>
        <w:spacing w:line="590" w:lineRule="exact"/>
        <w:ind w:firstLine="640" w:firstLineChars="200"/>
        <w:outlineLvl w:val="9"/>
        <w:rPr>
          <w:rFonts w:hint="eastAsia" w:ascii="黑体" w:hAnsi="黑体" w:eastAsia="黑体" w:cs="黑体"/>
          <w:b/>
          <w:bCs/>
          <w:color w:val="000000"/>
          <w:sz w:val="32"/>
          <w:szCs w:val="32"/>
        </w:rPr>
      </w:pPr>
      <w:r>
        <w:rPr>
          <w:rFonts w:hint="eastAsia" w:ascii="黑体" w:hAnsi="黑体" w:eastAsia="黑体" w:cs="黑体"/>
          <w:color w:val="000000"/>
          <w:sz w:val="32"/>
          <w:szCs w:val="32"/>
          <w:lang w:val="en-US" w:eastAsia="zh-CN"/>
        </w:rPr>
        <w:t>四、申报资料要求</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申报单位应</w:t>
      </w:r>
      <w:r>
        <w:rPr>
          <w:rFonts w:hint="eastAsia" w:ascii="仿宋" w:hAnsi="仿宋" w:eastAsia="仿宋" w:cs="仿宋"/>
          <w:color w:val="000000"/>
          <w:sz w:val="32"/>
          <w:szCs w:val="32"/>
        </w:rPr>
        <w:t>从中医</w:t>
      </w:r>
      <w:r>
        <w:rPr>
          <w:rFonts w:hint="eastAsia" w:ascii="仿宋" w:hAnsi="仿宋" w:eastAsia="仿宋" w:cs="仿宋"/>
          <w:color w:val="000000"/>
          <w:sz w:val="32"/>
          <w:szCs w:val="32"/>
          <w:lang w:val="en-US" w:eastAsia="zh-CN"/>
        </w:rPr>
        <w:t>临床评价</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药学综合评价</w:t>
      </w:r>
      <w:r>
        <w:rPr>
          <w:rFonts w:hint="eastAsia" w:ascii="仿宋" w:hAnsi="仿宋" w:eastAsia="仿宋" w:cs="仿宋"/>
          <w:color w:val="000000"/>
          <w:sz w:val="32"/>
          <w:szCs w:val="32"/>
        </w:rPr>
        <w:t>、新药成果转化评价</w:t>
      </w:r>
      <w:r>
        <w:rPr>
          <w:rFonts w:hint="eastAsia" w:ascii="仿宋" w:hAnsi="仿宋" w:eastAsia="仿宋" w:cs="仿宋"/>
          <w:color w:val="000000"/>
          <w:sz w:val="32"/>
          <w:szCs w:val="32"/>
          <w:lang w:eastAsia="zh-CN"/>
        </w:rPr>
        <w:t>等三</w:t>
      </w:r>
      <w:r>
        <w:rPr>
          <w:rFonts w:hint="eastAsia" w:ascii="仿宋" w:hAnsi="仿宋" w:eastAsia="仿宋" w:cs="仿宋"/>
          <w:color w:val="000000"/>
          <w:sz w:val="32"/>
          <w:szCs w:val="32"/>
        </w:rPr>
        <w:t>个方面</w:t>
      </w:r>
      <w:r>
        <w:rPr>
          <w:rFonts w:hint="eastAsia" w:ascii="仿宋" w:hAnsi="仿宋" w:eastAsia="仿宋" w:cs="仿宋"/>
          <w:color w:val="000000"/>
          <w:sz w:val="32"/>
          <w:szCs w:val="32"/>
          <w:lang w:eastAsia="zh-CN"/>
        </w:rPr>
        <w:t>阐述申报品种的特点并提交申报材料</w:t>
      </w:r>
      <w:r>
        <w:rPr>
          <w:rFonts w:hint="eastAsia" w:ascii="仿宋" w:hAnsi="仿宋" w:eastAsia="仿宋" w:cs="仿宋"/>
          <w:color w:val="000000"/>
          <w:sz w:val="32"/>
          <w:szCs w:val="32"/>
        </w:rPr>
        <w:t>。</w:t>
      </w:r>
    </w:p>
    <w:p>
      <w:pPr>
        <w:pStyle w:val="6"/>
        <w:keepNext w:val="0"/>
        <w:keepLines w:val="0"/>
        <w:pageBreakBefore w:val="0"/>
        <w:numPr>
          <w:ilvl w:val="0"/>
          <w:numId w:val="0"/>
        </w:numPr>
        <w:kinsoku/>
        <w:wordWrap/>
        <w:overflowPunct/>
        <w:topLinePunct w:val="0"/>
        <w:bidi w:val="0"/>
        <w:adjustRightInd/>
        <w:snapToGrid/>
        <w:spacing w:line="590" w:lineRule="exact"/>
        <w:ind w:left="562" w:leftChars="0"/>
        <w:rPr>
          <w:rFonts w:hint="eastAsia" w:ascii="楷体" w:hAnsi="楷体" w:eastAsia="楷体" w:cs="楷体"/>
          <w:b w:val="0"/>
          <w:bCs/>
          <w:color w:val="000000"/>
          <w:sz w:val="32"/>
          <w:szCs w:val="32"/>
          <w:lang w:eastAsia="zh-CN"/>
        </w:rPr>
      </w:pPr>
      <w:r>
        <w:rPr>
          <w:rFonts w:hint="eastAsia" w:ascii="楷体" w:hAnsi="楷体" w:eastAsia="楷体" w:cs="楷体"/>
          <w:b w:val="0"/>
          <w:bCs/>
          <w:color w:val="000000"/>
          <w:sz w:val="32"/>
          <w:szCs w:val="32"/>
          <w:lang w:eastAsia="zh-CN"/>
        </w:rPr>
        <w:t>（一）</w:t>
      </w:r>
      <w:r>
        <w:rPr>
          <w:rFonts w:hint="eastAsia" w:ascii="楷体" w:hAnsi="楷体" w:eastAsia="楷体" w:cs="楷体"/>
          <w:b w:val="0"/>
          <w:bCs/>
          <w:color w:val="000000"/>
          <w:sz w:val="32"/>
          <w:szCs w:val="32"/>
        </w:rPr>
        <w:t>中医</w:t>
      </w:r>
      <w:r>
        <w:rPr>
          <w:rFonts w:hint="eastAsia" w:ascii="楷体" w:hAnsi="楷体" w:eastAsia="楷体" w:cs="楷体"/>
          <w:b w:val="0"/>
          <w:bCs/>
          <w:color w:val="000000"/>
          <w:sz w:val="32"/>
          <w:szCs w:val="32"/>
          <w:lang w:eastAsia="zh-CN"/>
        </w:rPr>
        <w:t>临床评价</w:t>
      </w:r>
    </w:p>
    <w:p>
      <w:pPr>
        <w:keepNext w:val="0"/>
        <w:keepLines w:val="0"/>
        <w:pageBreakBefore w:val="0"/>
        <w:kinsoku/>
        <w:wordWrap/>
        <w:overflowPunct/>
        <w:topLinePunct w:val="0"/>
        <w:autoSpaceDE w:val="0"/>
        <w:autoSpaceDN w:val="0"/>
        <w:bidi w:val="0"/>
        <w:adjustRightInd/>
        <w:snapToGrid/>
        <w:spacing w:line="590" w:lineRule="exact"/>
        <w:ind w:firstLine="643" w:firstLineChars="200"/>
        <w:rPr>
          <w:rFonts w:hint="eastAsia" w:ascii="仿宋" w:hAnsi="仿宋" w:eastAsia="仿宋" w:cs="仿宋"/>
          <w:b w:val="0"/>
          <w:bCs w:val="0"/>
          <w:color w:val="000000"/>
          <w:kern w:val="0"/>
          <w:sz w:val="32"/>
          <w:szCs w:val="32"/>
          <w:lang w:val="en-US" w:bidi="zh-CN"/>
        </w:rPr>
      </w:pPr>
      <w:r>
        <w:rPr>
          <w:rFonts w:hint="eastAsia" w:ascii="仿宋" w:hAnsi="仿宋" w:eastAsia="仿宋" w:cs="仿宋"/>
          <w:b/>
          <w:bCs/>
          <w:color w:val="000000"/>
          <w:kern w:val="0"/>
          <w:sz w:val="32"/>
          <w:szCs w:val="32"/>
          <w:lang w:val="en-US" w:bidi="zh-CN"/>
        </w:rPr>
        <w:t>1.理论依据及处方来源。</w:t>
      </w:r>
      <w:r>
        <w:rPr>
          <w:rFonts w:hint="eastAsia" w:ascii="仿宋" w:hAnsi="仿宋" w:eastAsia="仿宋" w:cs="仿宋"/>
          <w:b w:val="0"/>
          <w:bCs w:val="0"/>
          <w:color w:val="000000"/>
          <w:kern w:val="0"/>
          <w:sz w:val="32"/>
          <w:szCs w:val="32"/>
          <w:lang w:val="zh-CN" w:bidi="zh-CN"/>
        </w:rPr>
        <w:t>申报品种应以中医理论为指导，</w:t>
      </w:r>
      <w:r>
        <w:rPr>
          <w:rFonts w:hint="eastAsia" w:ascii="仿宋" w:hAnsi="仿宋" w:eastAsia="仿宋" w:cs="仿宋"/>
          <w:b w:val="0"/>
          <w:bCs w:val="0"/>
          <w:color w:val="000000"/>
          <w:kern w:val="0"/>
          <w:sz w:val="32"/>
          <w:szCs w:val="32"/>
          <w:lang w:val="en-US" w:bidi="zh-CN"/>
        </w:rPr>
        <w:t>源于名医名方，</w:t>
      </w:r>
      <w:r>
        <w:rPr>
          <w:rFonts w:hint="eastAsia" w:ascii="仿宋" w:hAnsi="仿宋" w:eastAsia="仿宋" w:cs="仿宋"/>
          <w:b w:val="0"/>
          <w:bCs w:val="0"/>
          <w:color w:val="000000"/>
          <w:kern w:val="0"/>
          <w:sz w:val="32"/>
          <w:szCs w:val="32"/>
          <w:lang w:val="zh-CN" w:bidi="zh-CN"/>
        </w:rPr>
        <w:t>理法方药合理。</w:t>
      </w:r>
      <w:r>
        <w:rPr>
          <w:rFonts w:hint="eastAsia" w:ascii="仿宋" w:hAnsi="仿宋" w:eastAsia="仿宋" w:cs="仿宋"/>
          <w:b w:val="0"/>
          <w:bCs w:val="0"/>
          <w:color w:val="000000"/>
          <w:kern w:val="0"/>
          <w:sz w:val="32"/>
          <w:szCs w:val="32"/>
          <w:lang w:val="en-US" w:bidi="zh-CN"/>
        </w:rPr>
        <w:t>应详细阐述制剂主治病症的病因病机、证型规律、治则治法。说明处方出处（来源）、组成、剂量等关键信息；阐述处方从产生、使用、发展、变化的完整历程。写明处方提供者及其学术地位、学术传承，以及其所在专科情况等。鼓励在中医临床实践中观察疾病进展、证候转化、症状变化、药后反应等规律，为中药新药研制提供中医药理论的支持证据。</w:t>
      </w:r>
    </w:p>
    <w:p>
      <w:pPr>
        <w:keepNext w:val="0"/>
        <w:keepLines w:val="0"/>
        <w:pageBreakBefore w:val="0"/>
        <w:kinsoku/>
        <w:wordWrap/>
        <w:overflowPunct/>
        <w:topLinePunct w:val="0"/>
        <w:autoSpaceDE w:val="0"/>
        <w:autoSpaceDN w:val="0"/>
        <w:bidi w:val="0"/>
        <w:adjustRightInd/>
        <w:snapToGrid/>
        <w:spacing w:line="590" w:lineRule="exact"/>
        <w:ind w:firstLine="643" w:firstLineChars="200"/>
        <w:rPr>
          <w:rFonts w:hint="eastAsia" w:ascii="仿宋" w:hAnsi="仿宋" w:eastAsia="仿宋" w:cs="仿宋"/>
          <w:bCs/>
          <w:color w:val="000000"/>
          <w:sz w:val="32"/>
          <w:szCs w:val="32"/>
          <w:lang w:val="en-US" w:eastAsia="zh-CN"/>
        </w:rPr>
      </w:pPr>
      <w:r>
        <w:rPr>
          <w:rFonts w:hint="eastAsia" w:ascii="仿宋" w:hAnsi="仿宋" w:cs="仿宋"/>
          <w:b/>
          <w:bCs/>
          <w:color w:val="000000"/>
          <w:sz w:val="32"/>
          <w:szCs w:val="32"/>
          <w:lang w:val="en-US" w:eastAsia="zh-CN"/>
        </w:rPr>
        <w:t>2.</w:t>
      </w:r>
      <w:r>
        <w:rPr>
          <w:rFonts w:hint="eastAsia" w:ascii="仿宋" w:hAnsi="仿宋" w:eastAsia="仿宋" w:cs="仿宋"/>
          <w:b/>
          <w:bCs/>
          <w:color w:val="000000"/>
          <w:kern w:val="0"/>
          <w:sz w:val="32"/>
          <w:szCs w:val="32"/>
          <w:lang w:val="en-US" w:bidi="zh-CN"/>
        </w:rPr>
        <w:t>满足临床需求。</w:t>
      </w:r>
      <w:r>
        <w:rPr>
          <w:rFonts w:hint="eastAsia" w:ascii="仿宋" w:hAnsi="仿宋" w:eastAsia="仿宋" w:cs="仿宋"/>
          <w:b w:val="0"/>
          <w:bCs w:val="0"/>
          <w:color w:val="000000"/>
          <w:kern w:val="0"/>
          <w:sz w:val="32"/>
          <w:szCs w:val="32"/>
          <w:lang w:val="zh-CN" w:bidi="zh-CN"/>
        </w:rPr>
        <w:t>可满足其他临床药品未能满足的健康需求</w:t>
      </w:r>
      <w:r>
        <w:rPr>
          <w:rFonts w:hint="eastAsia" w:ascii="仿宋" w:hAnsi="仿宋" w:eastAsia="仿宋" w:cs="仿宋"/>
          <w:bCs/>
          <w:color w:val="000000"/>
          <w:sz w:val="32"/>
          <w:szCs w:val="32"/>
          <w:lang w:eastAsia="zh-CN"/>
        </w:rPr>
        <w:t>；</w:t>
      </w:r>
      <w:r>
        <w:rPr>
          <w:rFonts w:hint="eastAsia" w:ascii="仿宋" w:hAnsi="仿宋" w:eastAsia="仿宋" w:cs="仿宋"/>
          <w:b w:val="0"/>
          <w:bCs w:val="0"/>
          <w:color w:val="000000"/>
          <w:sz w:val="32"/>
          <w:szCs w:val="32"/>
        </w:rPr>
        <w:t>与广东省内同病种治疗比较，</w:t>
      </w:r>
      <w:r>
        <w:rPr>
          <w:rFonts w:hint="eastAsia" w:ascii="仿宋" w:hAnsi="仿宋" w:eastAsia="仿宋" w:cs="仿宋"/>
          <w:b w:val="0"/>
          <w:bCs w:val="0"/>
          <w:color w:val="000000"/>
          <w:sz w:val="32"/>
          <w:szCs w:val="32"/>
          <w:lang w:val="en-US"/>
        </w:rPr>
        <w:t>选用</w:t>
      </w:r>
      <w:r>
        <w:rPr>
          <w:rFonts w:hint="eastAsia" w:ascii="仿宋" w:hAnsi="仿宋" w:eastAsia="仿宋" w:cs="仿宋"/>
          <w:b w:val="0"/>
          <w:bCs w:val="0"/>
          <w:color w:val="000000"/>
          <w:sz w:val="32"/>
          <w:szCs w:val="32"/>
          <w:lang w:val="en-US" w:eastAsia="zh-CN"/>
        </w:rPr>
        <w:t>申报品种</w:t>
      </w:r>
      <w:r>
        <w:rPr>
          <w:rFonts w:hint="eastAsia" w:ascii="仿宋" w:hAnsi="仿宋" w:eastAsia="仿宋" w:cs="仿宋"/>
          <w:b w:val="0"/>
          <w:bCs w:val="0"/>
          <w:color w:val="000000"/>
          <w:sz w:val="32"/>
          <w:szCs w:val="32"/>
          <w:lang w:eastAsia="zh-CN"/>
        </w:rPr>
        <w:t>的</w:t>
      </w:r>
      <w:r>
        <w:rPr>
          <w:rFonts w:hint="eastAsia" w:ascii="仿宋" w:hAnsi="仿宋" w:eastAsia="仿宋" w:cs="仿宋"/>
          <w:b w:val="0"/>
          <w:bCs w:val="0"/>
          <w:color w:val="000000"/>
          <w:sz w:val="32"/>
          <w:szCs w:val="32"/>
        </w:rPr>
        <w:t>就医费用、药品费用、用药时长、疗效结果有明显优势。</w:t>
      </w:r>
      <w:r>
        <w:rPr>
          <w:rFonts w:hint="eastAsia" w:ascii="仿宋" w:hAnsi="仿宋" w:eastAsia="仿宋" w:cs="仿宋"/>
          <w:color w:val="000000"/>
          <w:sz w:val="32"/>
          <w:szCs w:val="32"/>
        </w:rPr>
        <w:t>应提供</w:t>
      </w:r>
      <w:r>
        <w:rPr>
          <w:rFonts w:hint="eastAsia" w:ascii="仿宋" w:hAnsi="仿宋" w:eastAsia="仿宋" w:cs="仿宋"/>
          <w:color w:val="000000"/>
          <w:sz w:val="32"/>
          <w:szCs w:val="32"/>
          <w:lang w:eastAsia="zh-CN"/>
        </w:rPr>
        <w:t>：总结说明制剂</w:t>
      </w:r>
      <w:r>
        <w:rPr>
          <w:rFonts w:hint="eastAsia" w:ascii="仿宋" w:hAnsi="仿宋" w:eastAsia="仿宋" w:cs="仿宋"/>
          <w:color w:val="000000"/>
          <w:kern w:val="0"/>
          <w:sz w:val="32"/>
          <w:szCs w:val="32"/>
          <w:lang w:bidi="zh-CN"/>
        </w:rPr>
        <w:t>在疾病治疗过程中发挥特有的治疗</w:t>
      </w:r>
      <w:r>
        <w:rPr>
          <w:rFonts w:hint="eastAsia" w:ascii="仿宋" w:hAnsi="仿宋" w:eastAsia="仿宋" w:cs="仿宋"/>
          <w:bCs/>
          <w:color w:val="000000"/>
          <w:sz w:val="32"/>
          <w:szCs w:val="32"/>
        </w:rPr>
        <w:t>效果，</w:t>
      </w:r>
      <w:r>
        <w:rPr>
          <w:rFonts w:hint="eastAsia" w:ascii="仿宋" w:hAnsi="仿宋" w:eastAsia="仿宋" w:cs="仿宋"/>
          <w:bCs/>
          <w:color w:val="000000"/>
          <w:sz w:val="32"/>
          <w:szCs w:val="32"/>
          <w:lang w:eastAsia="zh-CN"/>
        </w:rPr>
        <w:t>包括治疗疾病、</w:t>
      </w:r>
      <w:r>
        <w:rPr>
          <w:rFonts w:hint="eastAsia" w:ascii="仿宋" w:hAnsi="仿宋" w:eastAsia="仿宋" w:cs="仿宋"/>
          <w:bCs/>
          <w:color w:val="000000"/>
          <w:sz w:val="32"/>
          <w:szCs w:val="32"/>
        </w:rPr>
        <w:t>缓解病程、提高患者生活质量等作用</w:t>
      </w:r>
      <w:r>
        <w:rPr>
          <w:rFonts w:hint="eastAsia" w:ascii="仿宋" w:hAnsi="仿宋" w:eastAsia="仿宋" w:cs="仿宋"/>
          <w:bCs/>
          <w:color w:val="000000"/>
          <w:sz w:val="32"/>
          <w:szCs w:val="32"/>
          <w:lang w:eastAsia="zh-CN"/>
        </w:rPr>
        <w:t>；</w:t>
      </w:r>
      <w:r>
        <w:rPr>
          <w:rFonts w:hint="eastAsia" w:ascii="仿宋" w:hAnsi="仿宋" w:eastAsia="仿宋" w:cs="仿宋"/>
          <w:color w:val="000000"/>
          <w:sz w:val="32"/>
          <w:szCs w:val="32"/>
        </w:rPr>
        <w:t>制剂单价和用药时长、疗效结果相关证明资料，由专家组参考政府部门发布的相关数据，完成</w:t>
      </w:r>
      <w:r>
        <w:rPr>
          <w:rFonts w:hint="eastAsia" w:ascii="仿宋" w:hAnsi="仿宋" w:eastAsia="仿宋" w:cs="仿宋"/>
          <w:color w:val="000000"/>
          <w:sz w:val="32"/>
          <w:szCs w:val="32"/>
          <w:lang w:val="zh-CN"/>
        </w:rPr>
        <w:t>申报品种</w:t>
      </w:r>
      <w:r>
        <w:rPr>
          <w:rFonts w:hint="eastAsia" w:ascii="仿宋" w:hAnsi="仿宋" w:eastAsia="仿宋" w:cs="仿宋"/>
          <w:color w:val="000000"/>
          <w:sz w:val="32"/>
          <w:szCs w:val="32"/>
        </w:rPr>
        <w:t>的经济性评估。</w:t>
      </w:r>
    </w:p>
    <w:p>
      <w:pPr>
        <w:keepNext w:val="0"/>
        <w:keepLines w:val="0"/>
        <w:pageBreakBefore w:val="0"/>
        <w:kinsoku/>
        <w:wordWrap/>
        <w:overflowPunct/>
        <w:topLinePunct w:val="0"/>
        <w:autoSpaceDE w:val="0"/>
        <w:autoSpaceDN w:val="0"/>
        <w:bidi w:val="0"/>
        <w:adjustRightInd/>
        <w:snapToGrid/>
        <w:spacing w:line="590" w:lineRule="exact"/>
        <w:ind w:firstLine="643" w:firstLineChars="200"/>
        <w:rPr>
          <w:rFonts w:hint="eastAsia" w:ascii="仿宋" w:hAnsi="仿宋" w:eastAsia="仿宋" w:cs="仿宋"/>
          <w:bCs/>
          <w:color w:val="000000"/>
          <w:sz w:val="32"/>
          <w:szCs w:val="32"/>
          <w:lang w:eastAsia="zh-CN"/>
        </w:rPr>
      </w:pPr>
      <w:r>
        <w:rPr>
          <w:rFonts w:hint="eastAsia" w:ascii="仿宋" w:hAnsi="仿宋" w:eastAsia="仿宋" w:cs="仿宋"/>
          <w:b/>
          <w:bCs/>
          <w:color w:val="000000"/>
          <w:kern w:val="0"/>
          <w:sz w:val="32"/>
          <w:szCs w:val="32"/>
          <w:lang w:val="en-US" w:bidi="zh-CN"/>
        </w:rPr>
        <w:t>3.岭南用药特色。</w:t>
      </w:r>
      <w:r>
        <w:rPr>
          <w:rFonts w:hint="eastAsia" w:ascii="仿宋" w:hAnsi="仿宋" w:eastAsia="仿宋" w:cs="仿宋"/>
          <w:color w:val="000000"/>
          <w:kern w:val="0"/>
          <w:sz w:val="32"/>
          <w:szCs w:val="32"/>
          <w:lang w:val="zh-CN" w:bidi="zh-CN"/>
        </w:rPr>
        <w:t>制剂源于岭南学术流派理论指导，或</w:t>
      </w:r>
      <w:r>
        <w:rPr>
          <w:rFonts w:hint="eastAsia" w:ascii="仿宋" w:hAnsi="仿宋" w:eastAsia="仿宋" w:cs="仿宋"/>
          <w:color w:val="000000"/>
          <w:kern w:val="0"/>
          <w:sz w:val="32"/>
          <w:szCs w:val="32"/>
          <w:lang w:val="en-US" w:bidi="zh-CN"/>
        </w:rPr>
        <w:t>处方中含有</w:t>
      </w:r>
      <w:r>
        <w:rPr>
          <w:rFonts w:hint="eastAsia" w:ascii="仿宋" w:hAnsi="仿宋" w:eastAsia="仿宋" w:cs="仿宋"/>
          <w:color w:val="000000"/>
          <w:kern w:val="0"/>
          <w:sz w:val="32"/>
          <w:szCs w:val="32"/>
          <w:lang w:val="zh-CN" w:bidi="zh-CN"/>
        </w:rPr>
        <w:t>岭南特色药材、所使用的药材选用岭南特色炮制方法。应详细阐述制剂处方所依据的岭南特色治疗理论，所使用的岭南特色药材名称、</w:t>
      </w:r>
      <w:r>
        <w:rPr>
          <w:rFonts w:hint="eastAsia" w:ascii="仿宋" w:hAnsi="仿宋" w:eastAsia="仿宋" w:cs="仿宋"/>
          <w:bCs/>
          <w:color w:val="000000"/>
          <w:sz w:val="32"/>
          <w:szCs w:val="32"/>
        </w:rPr>
        <w:t>收载标准、采收季节、炮制方法、功效主治、用法用量</w:t>
      </w:r>
      <w:r>
        <w:rPr>
          <w:rFonts w:hint="eastAsia" w:ascii="仿宋" w:hAnsi="仿宋" w:eastAsia="仿宋" w:cs="仿宋"/>
          <w:bCs/>
          <w:color w:val="000000"/>
          <w:sz w:val="32"/>
          <w:szCs w:val="32"/>
          <w:lang w:eastAsia="zh-CN"/>
        </w:rPr>
        <w:t>，</w:t>
      </w:r>
      <w:r>
        <w:rPr>
          <w:rFonts w:hint="eastAsia" w:ascii="仿宋" w:hAnsi="仿宋" w:eastAsia="仿宋" w:cs="仿宋"/>
          <w:bCs/>
          <w:color w:val="000000"/>
          <w:sz w:val="32"/>
          <w:szCs w:val="32"/>
          <w:lang w:val="en-US" w:eastAsia="zh-CN"/>
        </w:rPr>
        <w:t>或</w:t>
      </w:r>
      <w:r>
        <w:rPr>
          <w:rFonts w:hint="eastAsia" w:ascii="仿宋" w:hAnsi="仿宋" w:eastAsia="仿宋" w:cs="仿宋"/>
          <w:color w:val="000000"/>
          <w:kern w:val="0"/>
          <w:sz w:val="32"/>
          <w:szCs w:val="32"/>
          <w:lang w:val="zh-CN" w:bidi="zh-CN"/>
        </w:rPr>
        <w:t>所使用药材选用</w:t>
      </w:r>
      <w:r>
        <w:rPr>
          <w:rFonts w:hint="eastAsia" w:ascii="仿宋" w:hAnsi="仿宋" w:eastAsia="仿宋" w:cs="仿宋"/>
          <w:color w:val="000000"/>
          <w:kern w:val="0"/>
          <w:sz w:val="32"/>
          <w:szCs w:val="32"/>
          <w:lang w:val="en-US" w:bidi="zh-CN"/>
        </w:rPr>
        <w:t>的</w:t>
      </w:r>
      <w:r>
        <w:rPr>
          <w:rFonts w:hint="eastAsia" w:ascii="仿宋" w:hAnsi="仿宋" w:eastAsia="仿宋" w:cs="仿宋"/>
          <w:color w:val="000000"/>
          <w:kern w:val="0"/>
          <w:sz w:val="32"/>
          <w:szCs w:val="32"/>
          <w:lang w:val="zh-CN" w:bidi="zh-CN"/>
        </w:rPr>
        <w:t>岭南特色炮制方法，</w:t>
      </w:r>
      <w:r>
        <w:rPr>
          <w:rFonts w:hint="eastAsia" w:ascii="仿宋" w:hAnsi="仿宋" w:eastAsia="仿宋" w:cs="仿宋"/>
          <w:bCs/>
          <w:color w:val="000000"/>
          <w:sz w:val="32"/>
          <w:szCs w:val="32"/>
        </w:rPr>
        <w:t>等。</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color w:val="000000"/>
          <w:kern w:val="0"/>
          <w:sz w:val="32"/>
          <w:szCs w:val="32"/>
          <w:lang w:val="en-US" w:bidi="zh-CN"/>
        </w:rPr>
        <w:t>4.临床使用历史。</w:t>
      </w:r>
      <w:r>
        <w:rPr>
          <w:rFonts w:hint="eastAsia" w:ascii="仿宋" w:hAnsi="仿宋" w:eastAsia="仿宋" w:cs="仿宋"/>
          <w:b w:val="0"/>
          <w:bCs w:val="0"/>
          <w:color w:val="000000"/>
          <w:kern w:val="0"/>
          <w:sz w:val="32"/>
          <w:szCs w:val="32"/>
          <w:lang w:val="zh-CN" w:bidi="zh-CN"/>
        </w:rPr>
        <w:t>制剂已经在临床使用</w:t>
      </w:r>
      <w:r>
        <w:rPr>
          <w:rFonts w:hint="eastAsia" w:ascii="仿宋" w:hAnsi="仿宋" w:eastAsia="仿宋" w:cs="仿宋"/>
          <w:b w:val="0"/>
          <w:bCs w:val="0"/>
          <w:color w:val="000000"/>
          <w:sz w:val="32"/>
          <w:szCs w:val="32"/>
        </w:rPr>
        <w:t>且有相关历史资料</w:t>
      </w:r>
      <w:r>
        <w:rPr>
          <w:rFonts w:hint="eastAsia" w:ascii="仿宋" w:hAnsi="仿宋" w:eastAsia="仿宋" w:cs="仿宋"/>
          <w:b w:val="0"/>
          <w:bCs w:val="0"/>
          <w:color w:val="000000"/>
          <w:sz w:val="32"/>
          <w:szCs w:val="32"/>
          <w:lang w:eastAsia="zh-CN"/>
        </w:rPr>
        <w:t>，</w:t>
      </w:r>
      <w:r>
        <w:rPr>
          <w:rFonts w:hint="eastAsia" w:ascii="仿宋" w:hAnsi="仿宋" w:eastAsia="仿宋" w:cs="仿宋"/>
          <w:bCs w:val="0"/>
          <w:color w:val="000000"/>
          <w:sz w:val="32"/>
          <w:szCs w:val="32"/>
        </w:rPr>
        <w:t>可</w:t>
      </w:r>
      <w:r>
        <w:rPr>
          <w:rFonts w:hint="eastAsia" w:ascii="仿宋" w:hAnsi="仿宋" w:eastAsia="仿宋" w:cs="仿宋"/>
          <w:bCs/>
          <w:color w:val="000000"/>
          <w:sz w:val="32"/>
          <w:szCs w:val="32"/>
        </w:rPr>
        <w:t>以选择提供以下历史佐证资料，证明</w:t>
      </w:r>
      <w:r>
        <w:rPr>
          <w:rFonts w:hint="eastAsia" w:ascii="仿宋" w:hAnsi="仿宋" w:eastAsia="仿宋" w:cs="仿宋"/>
          <w:bCs/>
          <w:color w:val="000000"/>
          <w:sz w:val="32"/>
          <w:szCs w:val="32"/>
          <w:lang w:eastAsia="zh-CN"/>
        </w:rPr>
        <w:t>申报品种</w:t>
      </w:r>
      <w:r>
        <w:rPr>
          <w:rFonts w:hint="eastAsia" w:ascii="仿宋" w:hAnsi="仿宋" w:eastAsia="仿宋" w:cs="仿宋"/>
          <w:bCs/>
          <w:color w:val="000000"/>
          <w:sz w:val="32"/>
          <w:szCs w:val="32"/>
        </w:rPr>
        <w:t>的临床使用历史</w:t>
      </w:r>
      <w:r>
        <w:rPr>
          <w:rFonts w:hint="eastAsia" w:ascii="仿宋" w:hAnsi="仿宋" w:eastAsia="仿宋" w:cs="仿宋"/>
          <w:bCs/>
          <w:color w:val="000000"/>
          <w:sz w:val="32"/>
          <w:szCs w:val="32"/>
          <w:lang w:val="en-US" w:eastAsia="zh-CN"/>
        </w:rPr>
        <w:t>（计算时间至申报截止时间）</w:t>
      </w:r>
      <w:r>
        <w:rPr>
          <w:rFonts w:hint="eastAsia" w:ascii="仿宋" w:hAnsi="仿宋" w:eastAsia="仿宋" w:cs="仿宋"/>
          <w:bCs/>
          <w:color w:val="000000"/>
          <w:sz w:val="32"/>
          <w:szCs w:val="32"/>
        </w:rPr>
        <w:t>：</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bCs/>
          <w:color w:val="000000"/>
          <w:sz w:val="32"/>
          <w:szCs w:val="32"/>
        </w:rPr>
      </w:pPr>
      <w:r>
        <w:rPr>
          <w:rFonts w:hint="eastAsia" w:ascii="仿宋" w:hAnsi="仿宋" w:eastAsia="仿宋" w:cs="仿宋"/>
          <w:bCs/>
          <w:color w:val="000000"/>
          <w:sz w:val="32"/>
          <w:szCs w:val="32"/>
        </w:rPr>
        <w:t>佐证资料1：</w:t>
      </w:r>
      <w:r>
        <w:rPr>
          <w:rFonts w:hint="eastAsia" w:ascii="仿宋" w:hAnsi="仿宋" w:eastAsia="仿宋" w:cs="仿宋"/>
          <w:color w:val="000000"/>
          <w:sz w:val="32"/>
          <w:szCs w:val="32"/>
        </w:rPr>
        <w:t>相对完整的临床病例，</w:t>
      </w:r>
      <w:r>
        <w:rPr>
          <w:rFonts w:hint="eastAsia" w:ascii="仿宋" w:hAnsi="仿宋" w:eastAsia="仿宋" w:cs="仿宋"/>
          <w:bCs/>
          <w:color w:val="000000"/>
          <w:sz w:val="32"/>
          <w:szCs w:val="32"/>
        </w:rPr>
        <w:t>病历应</w:t>
      </w:r>
      <w:r>
        <w:rPr>
          <w:rFonts w:hint="eastAsia" w:ascii="仿宋" w:hAnsi="仿宋" w:eastAsia="仿宋" w:cs="仿宋"/>
          <w:bCs/>
          <w:color w:val="000000"/>
          <w:sz w:val="32"/>
          <w:szCs w:val="32"/>
          <w:lang w:eastAsia="zh-CN"/>
        </w:rPr>
        <w:t>显示使用年份</w:t>
      </w:r>
      <w:r>
        <w:rPr>
          <w:rFonts w:hint="eastAsia" w:ascii="仿宋" w:hAnsi="仿宋" w:eastAsia="仿宋" w:cs="仿宋"/>
          <w:bCs/>
          <w:color w:val="000000"/>
          <w:sz w:val="32"/>
          <w:szCs w:val="32"/>
        </w:rPr>
        <w:t>；</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bCs/>
          <w:color w:val="000000"/>
          <w:sz w:val="32"/>
          <w:szCs w:val="32"/>
        </w:rPr>
        <w:t>佐证资料2：</w:t>
      </w:r>
      <w:r>
        <w:rPr>
          <w:rFonts w:hint="eastAsia" w:ascii="仿宋" w:hAnsi="仿宋" w:eastAsia="仿宋" w:cs="仿宋"/>
          <w:color w:val="000000"/>
          <w:sz w:val="32"/>
          <w:szCs w:val="32"/>
        </w:rPr>
        <w:t>该制剂历年再注册批件</w:t>
      </w:r>
      <w:r>
        <w:rPr>
          <w:rFonts w:hint="eastAsia" w:ascii="仿宋" w:hAnsi="仿宋" w:eastAsia="仿宋" w:cs="仿宋"/>
          <w:color w:val="000000"/>
          <w:sz w:val="32"/>
          <w:szCs w:val="32"/>
          <w:lang w:eastAsia="zh-CN"/>
        </w:rPr>
        <w:t>；</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rPr>
      </w:pPr>
      <w:r>
        <w:rPr>
          <w:rFonts w:hint="eastAsia" w:ascii="仿宋" w:hAnsi="仿宋" w:eastAsia="仿宋" w:cs="仿宋"/>
          <w:bCs/>
          <w:color w:val="000000"/>
          <w:sz w:val="32"/>
          <w:szCs w:val="32"/>
        </w:rPr>
        <w:t>佐证资料3：</w:t>
      </w:r>
      <w:r>
        <w:rPr>
          <w:rFonts w:hint="eastAsia" w:ascii="仿宋" w:hAnsi="仿宋" w:eastAsia="仿宋" w:cs="仿宋"/>
          <w:color w:val="000000"/>
          <w:sz w:val="32"/>
          <w:szCs w:val="32"/>
        </w:rPr>
        <w:t>使用记录、发表论文、发明专利</w:t>
      </w:r>
      <w:r>
        <w:rPr>
          <w:rFonts w:hint="eastAsia" w:ascii="仿宋" w:hAnsi="仿宋" w:eastAsia="仿宋" w:cs="仿宋"/>
          <w:color w:val="000000"/>
          <w:sz w:val="32"/>
          <w:szCs w:val="32"/>
          <w:lang w:eastAsia="zh-CN"/>
        </w:rPr>
        <w:t>、医案记录</w:t>
      </w:r>
      <w:r>
        <w:rPr>
          <w:rFonts w:hint="eastAsia" w:ascii="仿宋" w:hAnsi="仿宋" w:eastAsia="仿宋" w:cs="仿宋"/>
          <w:color w:val="000000"/>
          <w:sz w:val="32"/>
          <w:szCs w:val="32"/>
        </w:rPr>
        <w:t>等。</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color w:val="000000"/>
          <w:kern w:val="0"/>
          <w:sz w:val="32"/>
          <w:szCs w:val="32"/>
          <w:lang w:val="en-US" w:bidi="zh-CN"/>
        </w:rPr>
        <w:t>5.临床用量情况。</w:t>
      </w:r>
      <w:r>
        <w:rPr>
          <w:rFonts w:hint="eastAsia" w:ascii="仿宋" w:hAnsi="仿宋" w:eastAsia="仿宋" w:cs="仿宋"/>
          <w:b w:val="0"/>
          <w:bCs w:val="0"/>
          <w:color w:val="000000"/>
          <w:sz w:val="32"/>
          <w:szCs w:val="32"/>
        </w:rPr>
        <w:t>临床使用</w:t>
      </w:r>
      <w:r>
        <w:rPr>
          <w:rFonts w:hint="eastAsia" w:ascii="仿宋" w:hAnsi="仿宋" w:eastAsia="仿宋" w:cs="仿宋"/>
          <w:color w:val="000000"/>
          <w:sz w:val="32"/>
          <w:szCs w:val="32"/>
        </w:rPr>
        <w:t>量大</w:t>
      </w:r>
      <w:r>
        <w:rPr>
          <w:rFonts w:hint="eastAsia" w:ascii="仿宋" w:hAnsi="仿宋" w:eastAsia="仿宋" w:cs="仿宋"/>
          <w:color w:val="000000"/>
          <w:sz w:val="32"/>
          <w:szCs w:val="32"/>
          <w:lang w:eastAsia="zh-CN"/>
        </w:rPr>
        <w:t>，获批后连续3年使用总量应超过10000个销售包装单位，且曾单年度生产及使用量应超过3000个销售包装单位（年度计算时间为</w:t>
      </w:r>
      <w:r>
        <w:rPr>
          <w:rFonts w:hint="eastAsia" w:ascii="仿宋" w:hAnsi="仿宋" w:eastAsia="仿宋" w:cs="仿宋"/>
          <w:color w:val="000000"/>
          <w:sz w:val="32"/>
          <w:szCs w:val="32"/>
          <w:lang w:val="en-US" w:eastAsia="zh-CN"/>
        </w:rPr>
        <w:t>1月1日至12月31日</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。可以选择提供以下佐证资料</w:t>
      </w:r>
      <w:r>
        <w:rPr>
          <w:rFonts w:hint="eastAsia" w:ascii="仿宋" w:hAnsi="仿宋" w:eastAsia="仿宋" w:cs="仿宋"/>
          <w:bCs/>
          <w:color w:val="000000"/>
          <w:sz w:val="32"/>
          <w:szCs w:val="32"/>
        </w:rPr>
        <w:t>证明</w:t>
      </w:r>
      <w:r>
        <w:rPr>
          <w:rFonts w:hint="eastAsia" w:ascii="仿宋" w:hAnsi="仿宋" w:eastAsia="仿宋" w:cs="仿宋"/>
          <w:bCs/>
          <w:color w:val="000000"/>
          <w:sz w:val="32"/>
          <w:szCs w:val="32"/>
          <w:lang w:eastAsia="zh-CN"/>
        </w:rPr>
        <w:t>申报品种</w:t>
      </w:r>
      <w:r>
        <w:rPr>
          <w:rFonts w:hint="eastAsia" w:ascii="仿宋" w:hAnsi="仿宋" w:eastAsia="仿宋" w:cs="仿宋"/>
          <w:bCs/>
          <w:color w:val="000000"/>
          <w:sz w:val="32"/>
          <w:szCs w:val="32"/>
        </w:rPr>
        <w:t>的临床使用情况：</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佐证资料1：该制</w:t>
      </w:r>
      <w:r>
        <w:rPr>
          <w:rFonts w:hint="eastAsia" w:ascii="仿宋" w:hAnsi="仿宋" w:eastAsia="仿宋" w:cs="仿宋"/>
          <w:color w:val="000000"/>
          <w:sz w:val="32"/>
          <w:szCs w:val="32"/>
          <w:lang w:eastAsia="zh-CN"/>
        </w:rPr>
        <w:t>剂获批后连续3年再注册或备案年度报告中关于使用数量填报数据；</w:t>
      </w:r>
    </w:p>
    <w:p>
      <w:pPr>
        <w:keepNext w:val="0"/>
        <w:keepLines w:val="0"/>
        <w:pageBreakBefore w:val="0"/>
        <w:widowControl/>
        <w:suppressLineNumbers w:val="0"/>
        <w:kinsoku/>
        <w:wordWrap/>
        <w:overflowPunct/>
        <w:topLinePunct w:val="0"/>
        <w:bidi w:val="0"/>
        <w:adjustRightInd/>
        <w:snapToGrid/>
        <w:spacing w:line="590" w:lineRule="exact"/>
        <w:ind w:firstLine="640" w:firstLineChars="200"/>
        <w:jc w:val="left"/>
        <w:textAlignment w:val="center"/>
        <w:rPr>
          <w:rFonts w:hint="eastAsia" w:ascii="仿宋" w:hAnsi="仿宋" w:eastAsia="仿宋" w:cs="仿宋"/>
          <w:bCs/>
          <w:color w:val="000000"/>
          <w:sz w:val="32"/>
          <w:szCs w:val="32"/>
        </w:rPr>
      </w:pPr>
      <w:r>
        <w:rPr>
          <w:rFonts w:hint="eastAsia" w:ascii="仿宋" w:hAnsi="仿宋" w:eastAsia="仿宋" w:cs="仿宋"/>
          <w:bCs/>
          <w:color w:val="000000"/>
          <w:sz w:val="32"/>
          <w:szCs w:val="32"/>
        </w:rPr>
        <w:t>佐证资料2：该制</w:t>
      </w:r>
      <w:r>
        <w:rPr>
          <w:rFonts w:hint="eastAsia" w:ascii="仿宋" w:hAnsi="仿宋" w:eastAsia="仿宋" w:cs="仿宋"/>
          <w:color w:val="000000"/>
          <w:sz w:val="32"/>
          <w:szCs w:val="32"/>
          <w:lang w:eastAsia="zh-CN"/>
        </w:rPr>
        <w:t>剂获批后连续3年的使用记录</w:t>
      </w:r>
      <w:r>
        <w:rPr>
          <w:rFonts w:hint="eastAsia" w:ascii="仿宋" w:hAnsi="仿宋" w:eastAsia="仿宋" w:cs="仿宋"/>
          <w:bCs/>
          <w:color w:val="000000"/>
          <w:sz w:val="32"/>
          <w:szCs w:val="32"/>
        </w:rPr>
        <w:t>。</w:t>
      </w:r>
    </w:p>
    <w:p>
      <w:pPr>
        <w:pStyle w:val="6"/>
        <w:keepNext w:val="0"/>
        <w:keepLines w:val="0"/>
        <w:pageBreakBefore w:val="0"/>
        <w:numPr>
          <w:ilvl w:val="0"/>
          <w:numId w:val="0"/>
        </w:numPr>
        <w:kinsoku/>
        <w:wordWrap/>
        <w:overflowPunct/>
        <w:topLinePunct w:val="0"/>
        <w:bidi w:val="0"/>
        <w:adjustRightInd/>
        <w:snapToGrid/>
        <w:spacing w:line="590" w:lineRule="exact"/>
        <w:ind w:left="0" w:firstLine="643" w:firstLineChars="200"/>
        <w:outlineLvl w:val="2"/>
        <w:rPr>
          <w:rFonts w:hint="eastAsia" w:ascii="仿宋" w:hAnsi="仿宋" w:eastAsia="仿宋" w:cs="仿宋"/>
          <w:bCs/>
          <w:color w:val="000000"/>
          <w:sz w:val="32"/>
          <w:szCs w:val="32"/>
        </w:rPr>
      </w:pPr>
      <w:r>
        <w:rPr>
          <w:rFonts w:hint="eastAsia" w:ascii="仿宋" w:hAnsi="仿宋" w:eastAsia="仿宋" w:cs="仿宋"/>
          <w:b/>
          <w:bCs/>
          <w:color w:val="000000"/>
          <w:kern w:val="0"/>
          <w:sz w:val="32"/>
          <w:szCs w:val="32"/>
          <w:lang w:val="en-US" w:bidi="zh-CN"/>
        </w:rPr>
        <w:t>6.</w:t>
      </w:r>
      <w:r>
        <w:rPr>
          <w:rFonts w:hint="eastAsia" w:ascii="仿宋" w:hAnsi="仿宋" w:eastAsia="仿宋" w:cs="仿宋"/>
          <w:b/>
          <w:bCs/>
          <w:color w:val="000000"/>
          <w:kern w:val="0"/>
          <w:sz w:val="32"/>
          <w:szCs w:val="32"/>
          <w:lang w:val="zh-CN" w:eastAsia="zh-CN" w:bidi="zh-CN"/>
        </w:rPr>
        <w:t>多点使用情况</w:t>
      </w:r>
      <w:r>
        <w:rPr>
          <w:rFonts w:hint="eastAsia" w:ascii="仿宋" w:hAnsi="仿宋" w:eastAsia="仿宋" w:cs="仿宋"/>
          <w:b/>
          <w:bCs/>
          <w:color w:val="000000"/>
          <w:kern w:val="0"/>
          <w:sz w:val="32"/>
          <w:szCs w:val="32"/>
          <w:lang w:val="zh-CN" w:bidi="zh-CN"/>
        </w:rPr>
        <w:t>。</w:t>
      </w:r>
      <w:r>
        <w:rPr>
          <w:rFonts w:hint="eastAsia" w:ascii="仿宋" w:hAnsi="仿宋" w:eastAsia="仿宋" w:cs="仿宋"/>
          <w:color w:val="000000"/>
          <w:kern w:val="0"/>
          <w:sz w:val="32"/>
          <w:szCs w:val="32"/>
          <w:lang w:val="zh-CN" w:bidi="zh-CN"/>
        </w:rPr>
        <w:t>在本医疗机构多院区、多门诊使用，或曾在医联体内或其他医疗机构调剂使用的</w:t>
      </w:r>
      <w:r>
        <w:rPr>
          <w:rFonts w:hint="eastAsia" w:ascii="仿宋" w:hAnsi="仿宋" w:eastAsia="仿宋" w:cs="仿宋"/>
          <w:color w:val="000000"/>
          <w:kern w:val="0"/>
          <w:sz w:val="32"/>
          <w:szCs w:val="32"/>
          <w:lang w:bidi="zh-CN"/>
        </w:rPr>
        <w:t>。</w:t>
      </w:r>
      <w:r>
        <w:rPr>
          <w:rFonts w:hint="eastAsia" w:ascii="仿宋" w:hAnsi="仿宋" w:eastAsia="仿宋" w:cs="仿宋"/>
          <w:color w:val="000000"/>
          <w:sz w:val="32"/>
          <w:szCs w:val="32"/>
        </w:rPr>
        <w:t>应提供</w:t>
      </w:r>
      <w:r>
        <w:rPr>
          <w:rFonts w:hint="eastAsia" w:ascii="仿宋" w:hAnsi="仿宋" w:eastAsia="仿宋" w:cs="仿宋"/>
          <w:color w:val="000000"/>
          <w:kern w:val="0"/>
          <w:sz w:val="32"/>
          <w:szCs w:val="32"/>
          <w:lang w:val="zh-CN" w:bidi="zh-CN"/>
        </w:rPr>
        <w:t>病历或药品监管部门批准的调剂批件、调剂合同、调剂数量、调剂后相关使用凭证等</w:t>
      </w:r>
      <w:r>
        <w:rPr>
          <w:rFonts w:hint="eastAsia" w:ascii="仿宋" w:hAnsi="仿宋" w:eastAsia="仿宋" w:cs="仿宋"/>
          <w:color w:val="000000"/>
          <w:sz w:val="32"/>
          <w:szCs w:val="32"/>
        </w:rPr>
        <w:t>证明材料。</w:t>
      </w:r>
      <w:r>
        <w:rPr>
          <w:rFonts w:hint="eastAsia" w:ascii="仿宋" w:hAnsi="仿宋" w:eastAsia="仿宋" w:cs="仿宋"/>
          <w:bCs/>
          <w:color w:val="000000"/>
          <w:sz w:val="32"/>
          <w:szCs w:val="32"/>
        </w:rPr>
        <w:t>可以选择提供以下佐证资料，证明</w:t>
      </w:r>
      <w:r>
        <w:rPr>
          <w:rFonts w:hint="eastAsia" w:ascii="仿宋" w:hAnsi="仿宋" w:eastAsia="仿宋" w:cs="仿宋"/>
          <w:bCs/>
          <w:color w:val="000000"/>
          <w:sz w:val="32"/>
          <w:szCs w:val="32"/>
          <w:lang w:eastAsia="zh-CN"/>
        </w:rPr>
        <w:t>申报品种</w:t>
      </w:r>
      <w:r>
        <w:rPr>
          <w:rFonts w:hint="eastAsia" w:ascii="仿宋" w:hAnsi="仿宋" w:eastAsia="仿宋" w:cs="仿宋"/>
          <w:bCs/>
          <w:color w:val="000000"/>
          <w:sz w:val="32"/>
          <w:szCs w:val="32"/>
        </w:rPr>
        <w:t>的调剂情况：</w:t>
      </w:r>
    </w:p>
    <w:p>
      <w:pPr>
        <w:keepNext w:val="0"/>
        <w:keepLines w:val="0"/>
        <w:pageBreakBefore w:val="0"/>
        <w:numPr>
          <w:ilvl w:val="0"/>
          <w:numId w:val="0"/>
        </w:numPr>
        <w:kinsoku/>
        <w:wordWrap/>
        <w:overflowPunct/>
        <w:topLinePunct w:val="0"/>
        <w:bidi w:val="0"/>
        <w:adjustRightInd/>
        <w:snapToGrid/>
        <w:spacing w:line="590" w:lineRule="exact"/>
        <w:ind w:left="0" w:firstLine="640" w:firstLineChars="200"/>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佐证资料1：在本医疗机构多院区、多个门诊部使用</w:t>
      </w:r>
      <w:r>
        <w:rPr>
          <w:rFonts w:hint="eastAsia" w:ascii="仿宋" w:hAnsi="仿宋" w:eastAsia="仿宋" w:cs="仿宋"/>
          <w:bCs/>
          <w:color w:val="000000"/>
          <w:sz w:val="32"/>
          <w:szCs w:val="32"/>
          <w:lang w:eastAsia="zh-CN"/>
        </w:rPr>
        <w:t>的证明材料；</w:t>
      </w:r>
    </w:p>
    <w:p>
      <w:pPr>
        <w:keepNext w:val="0"/>
        <w:keepLines w:val="0"/>
        <w:pageBreakBefore w:val="0"/>
        <w:numPr>
          <w:ilvl w:val="0"/>
          <w:numId w:val="0"/>
        </w:numPr>
        <w:kinsoku/>
        <w:wordWrap/>
        <w:overflowPunct/>
        <w:topLinePunct w:val="0"/>
        <w:bidi w:val="0"/>
        <w:adjustRightInd/>
        <w:snapToGrid/>
        <w:spacing w:line="590" w:lineRule="exact"/>
        <w:ind w:left="0" w:firstLine="640" w:firstLineChars="200"/>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佐证资料2：</w:t>
      </w:r>
      <w:r>
        <w:rPr>
          <w:rFonts w:hint="eastAsia" w:ascii="仿宋" w:hAnsi="仿宋" w:eastAsia="仿宋" w:cs="仿宋"/>
          <w:bCs/>
          <w:color w:val="000000"/>
          <w:sz w:val="32"/>
          <w:szCs w:val="32"/>
          <w:lang w:eastAsia="zh-CN"/>
        </w:rPr>
        <w:t>药品监管</w:t>
      </w:r>
      <w:r>
        <w:rPr>
          <w:rFonts w:hint="eastAsia" w:ascii="仿宋" w:hAnsi="仿宋" w:eastAsia="仿宋" w:cs="仿宋"/>
          <w:bCs/>
          <w:color w:val="000000"/>
          <w:sz w:val="32"/>
          <w:szCs w:val="32"/>
        </w:rPr>
        <w:t>部门批准的调剂批件</w:t>
      </w:r>
      <w:r>
        <w:rPr>
          <w:rFonts w:hint="eastAsia" w:ascii="仿宋" w:hAnsi="仿宋" w:eastAsia="仿宋" w:cs="仿宋"/>
          <w:bCs/>
          <w:color w:val="000000"/>
          <w:sz w:val="32"/>
          <w:szCs w:val="32"/>
          <w:lang w:eastAsia="zh-CN"/>
        </w:rPr>
        <w:t>；</w:t>
      </w:r>
    </w:p>
    <w:p>
      <w:pPr>
        <w:keepNext w:val="0"/>
        <w:keepLines w:val="0"/>
        <w:pageBreakBefore w:val="0"/>
        <w:numPr>
          <w:ilvl w:val="0"/>
          <w:numId w:val="0"/>
        </w:numPr>
        <w:kinsoku/>
        <w:wordWrap/>
        <w:overflowPunct/>
        <w:topLinePunct w:val="0"/>
        <w:bidi w:val="0"/>
        <w:adjustRightInd/>
        <w:snapToGrid/>
        <w:spacing w:line="590" w:lineRule="exact"/>
        <w:ind w:left="0" w:firstLine="640" w:firstLineChars="200"/>
        <w:rPr>
          <w:rFonts w:hint="eastAsia" w:ascii="仿宋" w:hAnsi="仿宋" w:eastAsia="仿宋" w:cs="仿宋"/>
          <w:bCs/>
          <w:color w:val="000000"/>
          <w:sz w:val="32"/>
          <w:szCs w:val="32"/>
          <w:lang w:eastAsia="zh-CN"/>
        </w:rPr>
      </w:pPr>
      <w:r>
        <w:rPr>
          <w:rFonts w:hint="eastAsia" w:ascii="仿宋" w:hAnsi="仿宋" w:eastAsia="仿宋" w:cs="仿宋"/>
          <w:bCs/>
          <w:color w:val="000000"/>
          <w:sz w:val="32"/>
          <w:szCs w:val="32"/>
        </w:rPr>
        <w:t>佐证资料</w:t>
      </w:r>
      <w:r>
        <w:rPr>
          <w:rFonts w:hint="eastAsia" w:ascii="仿宋" w:hAnsi="仿宋" w:eastAsia="仿宋" w:cs="仿宋"/>
          <w:bCs/>
          <w:color w:val="000000"/>
          <w:sz w:val="32"/>
          <w:szCs w:val="32"/>
          <w:lang w:val="en-US" w:eastAsia="zh-CN"/>
        </w:rPr>
        <w:t>3</w:t>
      </w:r>
      <w:r>
        <w:rPr>
          <w:rFonts w:hint="eastAsia" w:ascii="仿宋" w:hAnsi="仿宋" w:eastAsia="仿宋" w:cs="仿宋"/>
          <w:bCs/>
          <w:color w:val="000000"/>
          <w:sz w:val="32"/>
          <w:szCs w:val="32"/>
        </w:rPr>
        <w:t>：调剂合同或相关制剂领用凭证等证明材料</w:t>
      </w:r>
      <w:r>
        <w:rPr>
          <w:rFonts w:hint="eastAsia" w:ascii="仿宋" w:hAnsi="仿宋" w:eastAsia="仿宋" w:cs="仿宋"/>
          <w:bCs/>
          <w:color w:val="000000"/>
          <w:sz w:val="32"/>
          <w:szCs w:val="32"/>
          <w:lang w:eastAsia="zh-CN"/>
        </w:rPr>
        <w:t>。</w:t>
      </w:r>
    </w:p>
    <w:p>
      <w:pPr>
        <w:pStyle w:val="7"/>
        <w:keepNext w:val="0"/>
        <w:keepLines w:val="0"/>
        <w:pageBreakBefore w:val="0"/>
        <w:widowControl w:val="0"/>
        <w:kinsoku/>
        <w:wordWrap/>
        <w:overflowPunct/>
        <w:topLinePunct w:val="0"/>
        <w:autoSpaceDE w:val="0"/>
        <w:autoSpaceDN w:val="0"/>
        <w:bidi w:val="0"/>
        <w:adjustRightInd/>
        <w:snapToGrid/>
        <w:spacing w:line="590" w:lineRule="exact"/>
        <w:ind w:firstLine="641"/>
        <w:textAlignment w:val="auto"/>
        <w:rPr>
          <w:rFonts w:hint="eastAsia" w:eastAsia="仿宋"/>
          <w:color w:val="000000"/>
          <w:lang w:eastAsia="zh-CN"/>
        </w:rPr>
      </w:pPr>
      <w:r>
        <w:rPr>
          <w:rFonts w:hint="eastAsia" w:ascii="仿宋" w:hAnsi="仿宋" w:eastAsia="仿宋" w:cs="仿宋"/>
          <w:b/>
          <w:bCs/>
          <w:color w:val="000000"/>
          <w:sz w:val="32"/>
          <w:szCs w:val="32"/>
          <w:lang w:val="en-US" w:eastAsia="zh-CN"/>
        </w:rPr>
        <w:t>7.人用经验积累。</w:t>
      </w:r>
      <w:r>
        <w:rPr>
          <w:rFonts w:hint="eastAsia" w:ascii="仿宋" w:hAnsi="仿宋" w:cs="仿宋"/>
          <w:color w:val="000000"/>
          <w:kern w:val="0"/>
          <w:sz w:val="32"/>
          <w:szCs w:val="32"/>
          <w:lang w:val="zh-CN" w:bidi="zh-CN"/>
        </w:rPr>
        <w:t>在制剂临床用药过程中，通过总结名老中医本人、学术继承人或师承团队等的用药经验、典型病案、医论医话及代表性专家访谈等，梳理出具有一定规律性和可重复性临床用药体会，阐述制剂的临床价值；鼓励开展规范的人用经验研究，明确制剂临床定位、适用人群、用药剂量、疗程、疗效特点和临床获益等。</w:t>
      </w:r>
    </w:p>
    <w:p>
      <w:pPr>
        <w:keepNext w:val="0"/>
        <w:keepLines w:val="0"/>
        <w:pageBreakBefore w:val="0"/>
        <w:kinsoku/>
        <w:wordWrap/>
        <w:overflowPunct/>
        <w:topLinePunct w:val="0"/>
        <w:bidi w:val="0"/>
        <w:adjustRightInd/>
        <w:snapToGrid/>
        <w:spacing w:line="590" w:lineRule="exact"/>
        <w:ind w:firstLine="422"/>
        <w:outlineLvl w:val="1"/>
        <w:rPr>
          <w:rFonts w:hint="eastAsia" w:ascii="楷体" w:hAnsi="楷体" w:eastAsia="楷体" w:cs="楷体"/>
          <w:b w:val="0"/>
          <w:bCs w:val="0"/>
          <w:color w:val="000000"/>
          <w:sz w:val="32"/>
          <w:szCs w:val="32"/>
        </w:rPr>
      </w:pPr>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eastAsia="zh-CN"/>
        </w:rPr>
        <w:t>二</w:t>
      </w:r>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eastAsia="zh-CN"/>
        </w:rPr>
        <w:t>药学综合</w:t>
      </w:r>
      <w:r>
        <w:rPr>
          <w:rFonts w:hint="eastAsia" w:ascii="楷体" w:hAnsi="楷体" w:eastAsia="楷体" w:cs="楷体"/>
          <w:b w:val="0"/>
          <w:bCs w:val="0"/>
          <w:color w:val="000000"/>
          <w:sz w:val="32"/>
          <w:szCs w:val="32"/>
        </w:rPr>
        <w:t>评价</w:t>
      </w:r>
    </w:p>
    <w:p>
      <w:pPr>
        <w:pStyle w:val="6"/>
        <w:keepNext w:val="0"/>
        <w:keepLines w:val="0"/>
        <w:pageBreakBefore w:val="0"/>
        <w:kinsoku/>
        <w:wordWrap/>
        <w:overflowPunct/>
        <w:topLinePunct w:val="0"/>
        <w:bidi w:val="0"/>
        <w:adjustRightInd/>
        <w:snapToGrid/>
        <w:spacing w:line="590" w:lineRule="exact"/>
        <w:ind w:firstLine="560"/>
        <w:outlineLvl w:val="2"/>
        <w:rPr>
          <w:rFonts w:hint="eastAsia" w:ascii="仿宋" w:hAnsi="仿宋" w:eastAsia="仿宋" w:cs="仿宋"/>
          <w:color w:val="000000"/>
          <w:sz w:val="32"/>
          <w:szCs w:val="32"/>
        </w:rPr>
      </w:pPr>
      <w:r>
        <w:rPr>
          <w:rFonts w:hint="eastAsia" w:ascii="仿宋" w:hAnsi="仿宋" w:eastAsia="仿宋" w:cs="仿宋"/>
          <w:b/>
          <w:bCs/>
          <w:color w:val="000000"/>
          <w:sz w:val="32"/>
          <w:szCs w:val="32"/>
          <w:lang w:eastAsia="zh-CN"/>
        </w:rPr>
        <w:t>1</w:t>
      </w:r>
      <w:r>
        <w:rPr>
          <w:rFonts w:hint="eastAsia" w:ascii="仿宋" w:hAnsi="仿宋" w:eastAsia="仿宋" w:cs="仿宋"/>
          <w:b/>
          <w:bCs/>
          <w:color w:val="000000"/>
          <w:sz w:val="32"/>
          <w:szCs w:val="32"/>
          <w:lang w:val="en-US" w:eastAsia="zh-CN"/>
        </w:rPr>
        <w:t>.处方药味组成。</w:t>
      </w:r>
      <w:r>
        <w:rPr>
          <w:rFonts w:hint="eastAsia" w:ascii="仿宋" w:hAnsi="仿宋" w:eastAsia="仿宋" w:cs="仿宋"/>
          <w:b w:val="0"/>
          <w:bCs w:val="0"/>
          <w:color w:val="000000"/>
          <w:sz w:val="32"/>
          <w:szCs w:val="32"/>
        </w:rPr>
        <w:t>处方药味均有法定标准来源</w:t>
      </w:r>
      <w:r>
        <w:rPr>
          <w:rFonts w:hint="eastAsia" w:ascii="仿宋" w:hAnsi="仿宋" w:eastAsia="仿宋" w:cs="仿宋"/>
          <w:b w:val="0"/>
          <w:bCs w:val="0"/>
          <w:color w:val="000000"/>
          <w:kern w:val="0"/>
          <w:sz w:val="32"/>
          <w:szCs w:val="32"/>
          <w:lang w:val="zh-CN" w:bidi="zh-CN"/>
        </w:rPr>
        <w:t>；口服制剂处方中，不得含有监管部门明</w:t>
      </w:r>
      <w:r>
        <w:rPr>
          <w:rFonts w:hint="eastAsia" w:ascii="仿宋" w:hAnsi="仿宋" w:eastAsia="仿宋" w:cs="仿宋"/>
          <w:color w:val="000000"/>
          <w:kern w:val="0"/>
          <w:sz w:val="32"/>
          <w:szCs w:val="32"/>
          <w:lang w:val="zh-CN" w:eastAsia="zh-CN" w:bidi="zh-CN"/>
        </w:rPr>
        <w:t>令禁止使用的现代毒理学证明有明显肝肾等脏器毒性的药味</w:t>
      </w:r>
      <w:r>
        <w:rPr>
          <w:rFonts w:hint="eastAsia" w:ascii="仿宋" w:hAnsi="仿宋" w:eastAsia="仿宋" w:cs="仿宋"/>
          <w:color w:val="000000"/>
          <w:kern w:val="0"/>
          <w:sz w:val="32"/>
          <w:szCs w:val="32"/>
          <w:lang w:val="en-US" w:eastAsia="zh-CN" w:bidi="zh-CN"/>
        </w:rPr>
        <w:t>；处方中如使用</w:t>
      </w:r>
      <w:r>
        <w:rPr>
          <w:rFonts w:hint="eastAsia" w:ascii="仿宋" w:hAnsi="仿宋" w:eastAsia="仿宋" w:cs="仿宋"/>
          <w:color w:val="000000"/>
          <w:kern w:val="0"/>
          <w:sz w:val="32"/>
          <w:szCs w:val="32"/>
          <w:lang w:val="zh-CN" w:eastAsia="zh-CN" w:bidi="zh-CN"/>
        </w:rPr>
        <w:t>有毒性及现代毒理学证明有毒性的药味，应有明确的中医理论或流派治法支持；</w:t>
      </w:r>
      <w:r>
        <w:rPr>
          <w:rFonts w:hint="eastAsia" w:ascii="仿宋" w:hAnsi="仿宋" w:eastAsia="仿宋" w:cs="仿宋"/>
          <w:color w:val="000000"/>
          <w:kern w:val="0"/>
          <w:sz w:val="32"/>
          <w:szCs w:val="32"/>
          <w:lang w:val="en-US" w:eastAsia="zh-CN" w:bidi="zh-CN"/>
        </w:rPr>
        <w:t>如</w:t>
      </w:r>
      <w:r>
        <w:rPr>
          <w:rFonts w:hint="eastAsia" w:ascii="仿宋" w:hAnsi="仿宋" w:eastAsia="仿宋" w:cs="仿宋"/>
          <w:color w:val="000000"/>
          <w:kern w:val="0"/>
          <w:sz w:val="32"/>
          <w:szCs w:val="32"/>
          <w:lang w:val="zh-CN" w:eastAsia="zh-CN" w:bidi="zh-CN"/>
        </w:rPr>
        <w:t>含有十八反、十九畏等配伍禁</w:t>
      </w:r>
      <w:r>
        <w:rPr>
          <w:rFonts w:hint="eastAsia" w:ascii="仿宋" w:hAnsi="仿宋" w:eastAsia="仿宋" w:cs="仿宋"/>
          <w:b w:val="0"/>
          <w:bCs w:val="0"/>
          <w:color w:val="000000"/>
          <w:kern w:val="0"/>
          <w:sz w:val="32"/>
          <w:szCs w:val="32"/>
          <w:lang w:val="zh-CN" w:bidi="zh-CN"/>
        </w:rPr>
        <w:t>忌的，申报单位应附安全性方面的证明资料。</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color w:val="000000"/>
          <w:sz w:val="32"/>
          <w:szCs w:val="32"/>
          <w:lang w:val="en-US" w:eastAsia="zh-CN"/>
        </w:rPr>
        <w:t>2.</w:t>
      </w:r>
      <w:r>
        <w:rPr>
          <w:rFonts w:hint="eastAsia" w:ascii="仿宋" w:hAnsi="仿宋" w:eastAsia="仿宋" w:cs="仿宋"/>
          <w:b/>
          <w:bCs/>
          <w:color w:val="000000"/>
          <w:sz w:val="32"/>
          <w:szCs w:val="32"/>
          <w:lang w:val="zh-CN"/>
        </w:rPr>
        <w:t>不良反应监测。</w:t>
      </w:r>
      <w:r>
        <w:rPr>
          <w:rFonts w:hint="eastAsia" w:ascii="仿宋" w:hAnsi="仿宋" w:eastAsia="仿宋" w:cs="仿宋"/>
          <w:b w:val="0"/>
          <w:bCs w:val="0"/>
          <w:color w:val="000000"/>
          <w:sz w:val="32"/>
          <w:szCs w:val="32"/>
          <w:lang w:val="en-US" w:eastAsia="zh-CN"/>
        </w:rPr>
        <w:t>申报单位</w:t>
      </w:r>
      <w:r>
        <w:rPr>
          <w:rFonts w:hint="eastAsia" w:ascii="仿宋" w:hAnsi="仿宋" w:eastAsia="仿宋" w:cs="仿宋"/>
          <w:b w:val="0"/>
          <w:bCs w:val="0"/>
          <w:color w:val="000000"/>
          <w:sz w:val="32"/>
          <w:szCs w:val="32"/>
          <w:lang w:val="zh-CN"/>
        </w:rPr>
        <w:t>规范开展</w:t>
      </w:r>
      <w:r>
        <w:rPr>
          <w:rFonts w:hint="eastAsia" w:ascii="仿宋" w:hAnsi="仿宋" w:eastAsia="仿宋" w:cs="仿宋"/>
          <w:b w:val="0"/>
          <w:bCs w:val="0"/>
          <w:color w:val="000000"/>
          <w:sz w:val="32"/>
          <w:szCs w:val="32"/>
          <w:lang w:val="en-US" w:eastAsia="zh-CN"/>
        </w:rPr>
        <w:t>该制剂的不良反应</w:t>
      </w:r>
      <w:r>
        <w:rPr>
          <w:rFonts w:hint="eastAsia" w:ascii="仿宋" w:hAnsi="仿宋" w:eastAsia="仿宋" w:cs="仿宋"/>
          <w:b w:val="0"/>
          <w:bCs w:val="0"/>
          <w:color w:val="000000"/>
          <w:sz w:val="32"/>
          <w:szCs w:val="32"/>
          <w:lang w:val="zh-CN"/>
        </w:rPr>
        <w:t>监测工作，</w:t>
      </w:r>
      <w:r>
        <w:rPr>
          <w:rFonts w:hint="eastAsia" w:ascii="仿宋" w:hAnsi="仿宋" w:eastAsia="仿宋" w:cs="仿宋"/>
          <w:b w:val="0"/>
          <w:bCs w:val="0"/>
          <w:color w:val="000000"/>
          <w:sz w:val="32"/>
          <w:szCs w:val="32"/>
          <w:lang w:val="en-US" w:eastAsia="zh-CN"/>
        </w:rPr>
        <w:t>申报制剂</w:t>
      </w:r>
      <w:r>
        <w:rPr>
          <w:rFonts w:hint="eastAsia" w:ascii="仿宋" w:hAnsi="仿宋" w:eastAsia="仿宋" w:cs="仿宋"/>
          <w:b w:val="0"/>
          <w:bCs w:val="0"/>
          <w:color w:val="000000"/>
          <w:sz w:val="32"/>
          <w:szCs w:val="32"/>
          <w:lang w:val="zh-CN"/>
        </w:rPr>
        <w:t>近5年内未发生严重不良反应，新的不良反应发生比例低。需提交</w:t>
      </w:r>
      <w:r>
        <w:rPr>
          <w:rFonts w:hint="eastAsia" w:ascii="仿宋" w:hAnsi="仿宋" w:eastAsia="仿宋" w:cs="仿宋"/>
          <w:b w:val="0"/>
          <w:bCs w:val="0"/>
          <w:color w:val="000000"/>
          <w:sz w:val="32"/>
          <w:szCs w:val="32"/>
          <w:lang w:val="zh-CN" w:eastAsia="zh-CN"/>
        </w:rPr>
        <w:t>申报品种</w:t>
      </w:r>
      <w:r>
        <w:rPr>
          <w:rFonts w:hint="eastAsia" w:ascii="仿宋" w:hAnsi="仿宋" w:eastAsia="仿宋" w:cs="仿宋"/>
          <w:b w:val="0"/>
          <w:bCs w:val="0"/>
          <w:color w:val="000000"/>
          <w:sz w:val="32"/>
          <w:szCs w:val="32"/>
          <w:lang w:val="zh-CN"/>
        </w:rPr>
        <w:t>近5年不良反应监测总结报告。报告应详细总结</w:t>
      </w:r>
      <w:r>
        <w:rPr>
          <w:rFonts w:hint="eastAsia" w:ascii="仿宋" w:hAnsi="仿宋" w:eastAsia="仿宋" w:cs="仿宋"/>
          <w:b w:val="0"/>
          <w:bCs w:val="0"/>
          <w:color w:val="000000"/>
          <w:sz w:val="32"/>
          <w:szCs w:val="32"/>
          <w:lang w:val="zh-CN" w:eastAsia="zh-CN"/>
        </w:rPr>
        <w:t>申报品种</w:t>
      </w:r>
      <w:r>
        <w:rPr>
          <w:rFonts w:hint="eastAsia" w:ascii="仿宋" w:hAnsi="仿宋" w:eastAsia="仿宋" w:cs="仿宋"/>
          <w:b w:val="0"/>
          <w:bCs w:val="0"/>
          <w:color w:val="000000"/>
          <w:sz w:val="32"/>
          <w:szCs w:val="32"/>
          <w:lang w:val="zh-CN"/>
        </w:rPr>
        <w:t>近5年内不良反应/不良事件发生情况，是否有新的、严重的不良反应。</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lang w:val="zh-CN"/>
        </w:rPr>
      </w:pPr>
      <w:r>
        <w:rPr>
          <w:rFonts w:hint="eastAsia" w:ascii="仿宋" w:hAnsi="仿宋" w:eastAsia="仿宋" w:cs="仿宋"/>
          <w:b/>
          <w:bCs/>
          <w:color w:val="000000"/>
          <w:sz w:val="32"/>
          <w:szCs w:val="32"/>
          <w:lang w:val="en-US" w:eastAsia="zh-CN"/>
        </w:rPr>
        <w:t>3.标签及说明书。</w:t>
      </w:r>
      <w:r>
        <w:rPr>
          <w:rFonts w:hint="eastAsia" w:ascii="仿宋" w:hAnsi="仿宋" w:eastAsia="仿宋" w:cs="仿宋"/>
          <w:b w:val="0"/>
          <w:bCs w:val="0"/>
          <w:color w:val="000000"/>
          <w:sz w:val="32"/>
          <w:szCs w:val="32"/>
          <w:lang w:val="zh-CN"/>
        </w:rPr>
        <w:t>标签及说明书的安全信息（如禁忌证、注意事项、特殊人群用药等）合理完整，内容与省药品监管局批准的一致。</w:t>
      </w:r>
      <w:r>
        <w:rPr>
          <w:rFonts w:hint="eastAsia" w:ascii="仿宋" w:hAnsi="仿宋" w:eastAsia="仿宋" w:cs="仿宋"/>
          <w:color w:val="000000"/>
          <w:sz w:val="32"/>
          <w:szCs w:val="32"/>
          <w:lang w:val="zh-CN"/>
        </w:rPr>
        <w:t>应提供标签、说明书等样稿的复印</w:t>
      </w:r>
      <w:r>
        <w:rPr>
          <w:rFonts w:hint="eastAsia" w:ascii="仿宋" w:hAnsi="仿宋" w:eastAsia="仿宋" w:cs="仿宋"/>
          <w:color w:val="000000"/>
          <w:sz w:val="32"/>
          <w:szCs w:val="32"/>
          <w:lang w:val="en-US" w:eastAsia="zh-CN"/>
        </w:rPr>
        <w:t>件</w:t>
      </w:r>
      <w:r>
        <w:rPr>
          <w:rFonts w:hint="eastAsia" w:ascii="仿宋" w:hAnsi="仿宋" w:eastAsia="仿宋" w:cs="仿宋"/>
          <w:color w:val="000000"/>
          <w:sz w:val="32"/>
          <w:szCs w:val="32"/>
          <w:lang w:val="zh-CN"/>
        </w:rPr>
        <w:t>。</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lang w:val="zh-CN"/>
        </w:rPr>
      </w:pPr>
      <w:r>
        <w:rPr>
          <w:rFonts w:hint="eastAsia" w:ascii="仿宋" w:hAnsi="仿宋" w:eastAsia="仿宋" w:cs="仿宋"/>
          <w:b/>
          <w:bCs/>
          <w:color w:val="000000"/>
          <w:sz w:val="32"/>
          <w:szCs w:val="32"/>
          <w:lang w:val="en-US" w:eastAsia="zh-CN"/>
        </w:rPr>
        <w:t>4.安全性有效性研究。</w:t>
      </w:r>
      <w:r>
        <w:rPr>
          <w:rFonts w:hint="eastAsia" w:ascii="仿宋" w:hAnsi="仿宋" w:eastAsia="仿宋" w:cs="仿宋"/>
          <w:b w:val="0"/>
          <w:bCs w:val="0"/>
          <w:color w:val="000000"/>
          <w:sz w:val="32"/>
          <w:szCs w:val="32"/>
        </w:rPr>
        <w:t>曾进行临床</w:t>
      </w:r>
      <w:r>
        <w:rPr>
          <w:rFonts w:hint="eastAsia" w:ascii="仿宋" w:hAnsi="仿宋" w:eastAsia="仿宋" w:cs="仿宋"/>
          <w:b w:val="0"/>
          <w:bCs w:val="0"/>
          <w:color w:val="000000"/>
          <w:sz w:val="32"/>
          <w:szCs w:val="32"/>
          <w:lang w:eastAsia="zh-CN"/>
        </w:rPr>
        <w:t>或非临床</w:t>
      </w:r>
      <w:r>
        <w:rPr>
          <w:rFonts w:hint="eastAsia" w:ascii="仿宋" w:hAnsi="仿宋" w:eastAsia="仿宋" w:cs="仿宋"/>
          <w:b w:val="0"/>
          <w:bCs w:val="0"/>
          <w:color w:val="000000"/>
          <w:sz w:val="32"/>
          <w:szCs w:val="32"/>
        </w:rPr>
        <w:t>安全性和有效性观察或研究</w:t>
      </w:r>
      <w:r>
        <w:rPr>
          <w:rFonts w:hint="eastAsia" w:ascii="仿宋" w:hAnsi="仿宋" w:eastAsia="仿宋" w:cs="仿宋"/>
          <w:b w:val="0"/>
          <w:bCs w:val="0"/>
          <w:color w:val="000000"/>
          <w:sz w:val="32"/>
          <w:szCs w:val="32"/>
          <w:lang w:val="zh-CN"/>
        </w:rPr>
        <w:t>。</w:t>
      </w:r>
      <w:r>
        <w:rPr>
          <w:rFonts w:hint="eastAsia" w:ascii="仿宋" w:hAnsi="仿宋" w:eastAsia="仿宋" w:cs="仿宋"/>
          <w:b w:val="0"/>
          <w:bCs/>
          <w:color w:val="000000"/>
          <w:sz w:val="32"/>
          <w:szCs w:val="32"/>
          <w:lang w:eastAsia="zh-CN"/>
        </w:rPr>
        <w:t>可</w:t>
      </w:r>
      <w:r>
        <w:rPr>
          <w:rFonts w:hint="eastAsia" w:ascii="仿宋" w:hAnsi="仿宋" w:eastAsia="仿宋" w:cs="仿宋"/>
          <w:b w:val="0"/>
          <w:bCs/>
          <w:color w:val="000000"/>
          <w:sz w:val="32"/>
          <w:szCs w:val="32"/>
          <w:lang w:val="zh-CN"/>
        </w:rPr>
        <w:t>提供</w:t>
      </w:r>
      <w:r>
        <w:rPr>
          <w:rFonts w:hint="eastAsia" w:ascii="仿宋" w:hAnsi="仿宋" w:eastAsia="仿宋" w:cs="仿宋"/>
          <w:bCs/>
          <w:color w:val="000000"/>
          <w:sz w:val="32"/>
          <w:szCs w:val="32"/>
        </w:rPr>
        <w:t>临床前安全性和有效性研究资料</w:t>
      </w:r>
      <w:r>
        <w:rPr>
          <w:rFonts w:hint="eastAsia" w:ascii="仿宋" w:hAnsi="仿宋" w:eastAsia="仿宋" w:cs="仿宋"/>
          <w:bCs/>
          <w:color w:val="000000"/>
          <w:sz w:val="32"/>
          <w:szCs w:val="32"/>
          <w:lang w:eastAsia="zh-CN"/>
        </w:rPr>
        <w:t>，包括研究</w:t>
      </w:r>
      <w:r>
        <w:rPr>
          <w:rFonts w:hint="eastAsia" w:ascii="仿宋" w:hAnsi="仿宋" w:eastAsia="仿宋" w:cs="仿宋"/>
          <w:bCs/>
          <w:color w:val="000000"/>
          <w:sz w:val="32"/>
          <w:szCs w:val="32"/>
        </w:rPr>
        <w:t>报告</w:t>
      </w:r>
      <w:r>
        <w:rPr>
          <w:rFonts w:hint="eastAsia" w:ascii="仿宋" w:hAnsi="仿宋" w:eastAsia="仿宋" w:cs="仿宋"/>
          <w:bCs/>
          <w:color w:val="000000"/>
          <w:sz w:val="32"/>
          <w:szCs w:val="32"/>
          <w:lang w:eastAsia="zh-CN"/>
        </w:rPr>
        <w:t>、研究论文及</w:t>
      </w:r>
      <w:r>
        <w:rPr>
          <w:rFonts w:hint="eastAsia" w:ascii="仿宋" w:hAnsi="仿宋" w:eastAsia="仿宋" w:cs="仿宋"/>
          <w:color w:val="000000"/>
          <w:sz w:val="32"/>
          <w:szCs w:val="32"/>
        </w:rPr>
        <w:t>文献</w:t>
      </w:r>
      <w:r>
        <w:rPr>
          <w:rFonts w:hint="eastAsia" w:ascii="仿宋" w:hAnsi="仿宋" w:eastAsia="仿宋" w:cs="仿宋"/>
          <w:color w:val="000000"/>
          <w:sz w:val="32"/>
          <w:szCs w:val="32"/>
          <w:lang w:eastAsia="zh-CN"/>
        </w:rPr>
        <w:t>等，多项应列出清单。</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5.</w:t>
      </w:r>
      <w:r>
        <w:rPr>
          <w:rFonts w:hint="eastAsia" w:ascii="仿宋" w:hAnsi="仿宋" w:eastAsia="仿宋" w:cs="仿宋"/>
          <w:b/>
          <w:bCs/>
          <w:color w:val="000000"/>
          <w:sz w:val="32"/>
          <w:szCs w:val="32"/>
          <w:lang w:val="zh-CN"/>
        </w:rPr>
        <w:t>配制工艺</w:t>
      </w:r>
      <w:r>
        <w:rPr>
          <w:rFonts w:hint="eastAsia" w:ascii="仿宋" w:hAnsi="仿宋" w:eastAsia="仿宋" w:cs="仿宋"/>
          <w:b/>
          <w:bCs/>
          <w:color w:val="000000"/>
          <w:sz w:val="32"/>
          <w:szCs w:val="32"/>
          <w:lang w:val="en-US" w:eastAsia="zh-CN"/>
        </w:rPr>
        <w:t>路线。</w:t>
      </w:r>
      <w:r>
        <w:rPr>
          <w:rFonts w:hint="eastAsia" w:ascii="仿宋" w:hAnsi="仿宋" w:eastAsia="仿宋" w:cs="仿宋"/>
          <w:b w:val="0"/>
          <w:bCs w:val="0"/>
          <w:color w:val="000000"/>
          <w:sz w:val="32"/>
          <w:szCs w:val="32"/>
          <w:lang w:val="en-US" w:eastAsia="zh-CN"/>
        </w:rPr>
        <w:t>工艺</w:t>
      </w:r>
      <w:r>
        <w:rPr>
          <w:rFonts w:hint="eastAsia" w:ascii="仿宋" w:hAnsi="仿宋" w:eastAsia="仿宋" w:cs="仿宋"/>
          <w:b w:val="0"/>
          <w:bCs w:val="0"/>
          <w:color w:val="000000"/>
          <w:sz w:val="32"/>
          <w:szCs w:val="32"/>
          <w:lang w:val="zh-CN"/>
        </w:rPr>
        <w:t>合理，并与大生产相关设备能顺利对接，具有实现大规模生产的可行性</w:t>
      </w:r>
      <w:r>
        <w:rPr>
          <w:rFonts w:hint="eastAsia" w:ascii="仿宋" w:hAnsi="仿宋" w:eastAsia="仿宋" w:cs="仿宋"/>
          <w:b w:val="0"/>
          <w:bCs w:val="0"/>
          <w:color w:val="000000"/>
          <w:sz w:val="32"/>
          <w:szCs w:val="32"/>
          <w:highlight w:val="none"/>
          <w:lang w:val="zh-CN"/>
        </w:rPr>
        <w:t>。</w:t>
      </w:r>
      <w:r>
        <w:rPr>
          <w:rFonts w:hint="eastAsia" w:ascii="仿宋" w:hAnsi="仿宋" w:eastAsia="仿宋" w:cs="仿宋"/>
          <w:color w:val="000000"/>
          <w:sz w:val="32"/>
          <w:szCs w:val="32"/>
          <w:highlight w:val="none"/>
          <w:lang w:val="zh-CN"/>
        </w:rPr>
        <w:t>应</w:t>
      </w:r>
      <w:r>
        <w:rPr>
          <w:rFonts w:hint="eastAsia" w:ascii="仿宋" w:hAnsi="仿宋" w:eastAsia="仿宋" w:cs="仿宋"/>
          <w:bCs/>
          <w:color w:val="000000"/>
          <w:sz w:val="32"/>
          <w:szCs w:val="32"/>
          <w:highlight w:val="none"/>
        </w:rPr>
        <w:t>列出</w:t>
      </w:r>
      <w:r>
        <w:rPr>
          <w:rFonts w:hint="eastAsia" w:ascii="仿宋" w:hAnsi="仿宋" w:eastAsia="仿宋" w:cs="仿宋"/>
          <w:bCs/>
          <w:color w:val="000000"/>
          <w:sz w:val="32"/>
          <w:szCs w:val="32"/>
          <w:highlight w:val="none"/>
          <w:lang w:eastAsia="zh-CN"/>
        </w:rPr>
        <w:t>申报品种</w:t>
      </w:r>
      <w:r>
        <w:rPr>
          <w:rFonts w:hint="eastAsia" w:ascii="仿宋" w:hAnsi="仿宋" w:eastAsia="仿宋" w:cs="仿宋"/>
          <w:bCs/>
          <w:color w:val="000000"/>
          <w:sz w:val="32"/>
          <w:szCs w:val="32"/>
          <w:highlight w:val="none"/>
        </w:rPr>
        <w:t>制法</w:t>
      </w:r>
      <w:r>
        <w:rPr>
          <w:rFonts w:hint="eastAsia" w:ascii="仿宋" w:hAnsi="仿宋" w:eastAsia="仿宋" w:cs="仿宋"/>
          <w:bCs/>
          <w:color w:val="000000"/>
          <w:sz w:val="32"/>
          <w:szCs w:val="32"/>
          <w:highlight w:val="none"/>
          <w:lang w:eastAsia="zh-CN"/>
        </w:rPr>
        <w:t>、</w:t>
      </w:r>
      <w:r>
        <w:rPr>
          <w:rFonts w:hint="eastAsia" w:ascii="仿宋" w:hAnsi="仿宋" w:eastAsia="仿宋" w:cs="仿宋"/>
          <w:bCs/>
          <w:color w:val="000000"/>
          <w:sz w:val="32"/>
          <w:szCs w:val="32"/>
          <w:highlight w:val="none"/>
        </w:rPr>
        <w:t>工艺流程图</w:t>
      </w:r>
      <w:r>
        <w:rPr>
          <w:rFonts w:hint="eastAsia" w:ascii="仿宋" w:hAnsi="仿宋" w:eastAsia="仿宋" w:cs="仿宋"/>
          <w:bCs/>
          <w:color w:val="000000"/>
          <w:sz w:val="32"/>
          <w:szCs w:val="32"/>
          <w:highlight w:val="none"/>
          <w:lang w:val="en-US" w:eastAsia="zh-CN"/>
        </w:rPr>
        <w:t>及</w:t>
      </w:r>
      <w:r>
        <w:rPr>
          <w:rFonts w:hint="eastAsia" w:ascii="仿宋" w:hAnsi="仿宋" w:eastAsia="仿宋" w:cs="仿宋"/>
          <w:color w:val="000000"/>
          <w:sz w:val="32"/>
          <w:szCs w:val="32"/>
          <w:highlight w:val="none"/>
          <w:lang w:val="zh-CN"/>
        </w:rPr>
        <w:t>各工序所需设备等</w:t>
      </w:r>
      <w:r>
        <w:rPr>
          <w:rFonts w:hint="eastAsia" w:ascii="仿宋" w:hAnsi="仿宋" w:eastAsia="仿宋" w:cs="仿宋"/>
          <w:color w:val="000000"/>
          <w:sz w:val="32"/>
          <w:szCs w:val="32"/>
          <w:lang w:val="zh-CN"/>
        </w:rPr>
        <w:t>。</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color w:val="000000"/>
          <w:sz w:val="32"/>
          <w:szCs w:val="32"/>
          <w:lang w:val="en-US" w:eastAsia="zh-CN"/>
        </w:rPr>
        <w:t>6.</w:t>
      </w:r>
      <w:r>
        <w:rPr>
          <w:rFonts w:hint="eastAsia" w:ascii="仿宋" w:hAnsi="仿宋" w:eastAsia="仿宋" w:cs="仿宋"/>
          <w:b/>
          <w:bCs/>
          <w:color w:val="000000"/>
          <w:sz w:val="32"/>
          <w:szCs w:val="32"/>
          <w:lang w:val="zh-CN"/>
        </w:rPr>
        <w:t>质量标准制定。</w:t>
      </w:r>
      <w:r>
        <w:rPr>
          <w:rFonts w:hint="eastAsia" w:ascii="仿宋" w:hAnsi="仿宋" w:eastAsia="仿宋" w:cs="仿宋"/>
          <w:b w:val="0"/>
          <w:bCs w:val="0"/>
          <w:color w:val="000000"/>
          <w:sz w:val="32"/>
          <w:szCs w:val="32"/>
          <w:lang w:val="zh-CN"/>
        </w:rPr>
        <w:t>质量标准应符合现行法律法规、标准、指导原则等规定，原则上不得低于《广东省医疗机构制剂质量标准制定的指导原则（试行）》的要求。</w:t>
      </w:r>
      <w:r>
        <w:rPr>
          <w:rFonts w:hint="eastAsia" w:ascii="仿宋" w:hAnsi="仿宋" w:eastAsia="仿宋" w:cs="仿宋"/>
          <w:color w:val="000000"/>
          <w:sz w:val="32"/>
          <w:szCs w:val="32"/>
          <w:lang w:val="zh-CN"/>
        </w:rPr>
        <w:t>应提供</w:t>
      </w:r>
      <w:r>
        <w:rPr>
          <w:rFonts w:hint="eastAsia" w:ascii="仿宋" w:hAnsi="仿宋" w:eastAsia="仿宋" w:cs="仿宋"/>
          <w:bCs/>
          <w:color w:val="000000"/>
          <w:sz w:val="32"/>
          <w:szCs w:val="32"/>
          <w:lang w:eastAsia="zh-CN"/>
        </w:rPr>
        <w:t>申报品种</w:t>
      </w:r>
      <w:r>
        <w:rPr>
          <w:rFonts w:hint="eastAsia" w:ascii="仿宋" w:hAnsi="仿宋" w:eastAsia="仿宋" w:cs="仿宋"/>
          <w:bCs/>
          <w:color w:val="000000"/>
          <w:sz w:val="32"/>
          <w:szCs w:val="32"/>
        </w:rPr>
        <w:t>的质量标准，并提供至少</w:t>
      </w:r>
      <w:r>
        <w:rPr>
          <w:rFonts w:hint="eastAsia" w:ascii="仿宋" w:hAnsi="仿宋" w:eastAsia="仿宋" w:cs="仿宋"/>
          <w:bCs/>
          <w:color w:val="000000"/>
          <w:sz w:val="32"/>
          <w:szCs w:val="32"/>
          <w:lang w:val="en-US" w:eastAsia="zh-CN"/>
        </w:rPr>
        <w:t>3</w:t>
      </w:r>
      <w:r>
        <w:rPr>
          <w:rFonts w:hint="eastAsia" w:ascii="仿宋" w:hAnsi="仿宋" w:eastAsia="仿宋" w:cs="仿宋"/>
          <w:bCs/>
          <w:color w:val="000000"/>
          <w:sz w:val="32"/>
          <w:szCs w:val="32"/>
        </w:rPr>
        <w:t>批自检报告</w:t>
      </w:r>
      <w:r>
        <w:rPr>
          <w:rFonts w:hint="eastAsia" w:ascii="仿宋" w:hAnsi="仿宋" w:eastAsia="仿宋" w:cs="仿宋"/>
          <w:bCs/>
          <w:color w:val="000000"/>
          <w:sz w:val="32"/>
          <w:szCs w:val="32"/>
          <w:lang w:eastAsia="zh-CN"/>
        </w:rPr>
        <w:t>或相应的</w:t>
      </w:r>
      <w:r>
        <w:rPr>
          <w:rFonts w:hint="eastAsia" w:ascii="仿宋" w:hAnsi="仿宋" w:eastAsia="仿宋" w:cs="仿宋"/>
          <w:bCs/>
          <w:color w:val="000000"/>
          <w:sz w:val="32"/>
          <w:szCs w:val="32"/>
        </w:rPr>
        <w:t>第三方检测报告。</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val="0"/>
          <w:color w:val="000000"/>
          <w:sz w:val="32"/>
          <w:szCs w:val="32"/>
          <w:lang w:val="en-US" w:eastAsia="zh-CN"/>
        </w:rPr>
        <w:t>7.基原及炮制情况。</w:t>
      </w:r>
      <w:r>
        <w:rPr>
          <w:rFonts w:hint="eastAsia" w:ascii="仿宋" w:hAnsi="仿宋" w:eastAsia="仿宋" w:cs="仿宋"/>
          <w:b w:val="0"/>
          <w:bCs w:val="0"/>
          <w:color w:val="000000"/>
          <w:sz w:val="32"/>
          <w:szCs w:val="32"/>
          <w:lang w:val="zh-CN"/>
        </w:rPr>
        <w:t>药材基原明确，炮制方法符合中医药组方理论，饮片收载于法定标准。</w:t>
      </w:r>
      <w:r>
        <w:rPr>
          <w:rFonts w:hint="eastAsia" w:ascii="仿宋" w:hAnsi="仿宋" w:eastAsia="仿宋" w:cs="仿宋"/>
          <w:color w:val="000000"/>
          <w:sz w:val="32"/>
          <w:szCs w:val="32"/>
          <w:lang w:val="zh-CN"/>
        </w:rPr>
        <w:t>应</w:t>
      </w:r>
      <w:r>
        <w:rPr>
          <w:rFonts w:hint="eastAsia" w:ascii="仿宋" w:hAnsi="仿宋" w:eastAsia="仿宋" w:cs="仿宋"/>
          <w:bCs/>
          <w:color w:val="000000"/>
          <w:sz w:val="32"/>
          <w:szCs w:val="32"/>
          <w:lang w:eastAsia="zh-CN"/>
        </w:rPr>
        <w:t>提供</w:t>
      </w:r>
      <w:r>
        <w:rPr>
          <w:rFonts w:hint="eastAsia" w:ascii="仿宋" w:hAnsi="仿宋" w:eastAsia="仿宋" w:cs="仿宋"/>
          <w:bCs/>
          <w:color w:val="000000"/>
          <w:sz w:val="32"/>
          <w:szCs w:val="32"/>
        </w:rPr>
        <w:t>相关</w:t>
      </w:r>
      <w:r>
        <w:rPr>
          <w:rFonts w:hint="eastAsia" w:ascii="仿宋" w:hAnsi="仿宋" w:eastAsia="仿宋" w:cs="仿宋"/>
          <w:bCs/>
          <w:color w:val="000000"/>
          <w:sz w:val="32"/>
          <w:szCs w:val="32"/>
          <w:lang w:eastAsia="zh-CN"/>
        </w:rPr>
        <w:t>证明材料</w:t>
      </w:r>
      <w:r>
        <w:rPr>
          <w:rFonts w:hint="eastAsia" w:ascii="仿宋" w:hAnsi="仿宋" w:eastAsia="仿宋" w:cs="仿宋"/>
          <w:bCs/>
          <w:color w:val="000000"/>
          <w:sz w:val="32"/>
          <w:szCs w:val="32"/>
        </w:rPr>
        <w:t>。</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bCs/>
          <w:color w:val="000000"/>
          <w:sz w:val="32"/>
          <w:szCs w:val="32"/>
        </w:rPr>
      </w:pPr>
      <w:r>
        <w:rPr>
          <w:rFonts w:hint="eastAsia" w:ascii="仿宋" w:hAnsi="仿宋" w:eastAsia="仿宋" w:cs="仿宋"/>
          <w:b/>
          <w:bCs w:val="0"/>
          <w:color w:val="000000"/>
          <w:sz w:val="32"/>
          <w:szCs w:val="32"/>
          <w:lang w:val="en-US" w:eastAsia="zh-CN"/>
        </w:rPr>
        <w:t>8.药材道地，资源可及。</w:t>
      </w:r>
      <w:r>
        <w:rPr>
          <w:rFonts w:hint="eastAsia" w:ascii="仿宋" w:hAnsi="仿宋" w:eastAsia="仿宋" w:cs="仿宋"/>
          <w:b w:val="0"/>
          <w:bCs w:val="0"/>
          <w:color w:val="000000"/>
          <w:sz w:val="32"/>
          <w:szCs w:val="32"/>
        </w:rPr>
        <w:t>使用道地药材，处方药味资源可及。</w:t>
      </w:r>
      <w:r>
        <w:rPr>
          <w:rFonts w:hint="eastAsia" w:ascii="仿宋" w:hAnsi="仿宋" w:eastAsia="仿宋" w:cs="仿宋"/>
          <w:color w:val="000000"/>
          <w:sz w:val="32"/>
          <w:szCs w:val="32"/>
          <w:lang w:val="zh-CN"/>
        </w:rPr>
        <w:t>应提供</w:t>
      </w:r>
      <w:r>
        <w:rPr>
          <w:rFonts w:hint="eastAsia" w:ascii="仿宋" w:hAnsi="仿宋" w:eastAsia="仿宋" w:cs="仿宋"/>
          <w:bCs/>
          <w:color w:val="000000"/>
          <w:sz w:val="32"/>
          <w:szCs w:val="32"/>
        </w:rPr>
        <w:t>药材供应商销售凭证等相关证明材料</w:t>
      </w:r>
      <w:r>
        <w:rPr>
          <w:rFonts w:hint="eastAsia" w:ascii="仿宋" w:hAnsi="仿宋" w:eastAsia="仿宋" w:cs="仿宋"/>
          <w:bCs/>
          <w:color w:val="000000"/>
          <w:sz w:val="32"/>
          <w:szCs w:val="32"/>
          <w:lang w:eastAsia="zh-CN"/>
        </w:rPr>
        <w:t>，</w:t>
      </w:r>
      <w:r>
        <w:rPr>
          <w:rFonts w:hint="eastAsia" w:ascii="仿宋" w:hAnsi="仿宋" w:eastAsia="仿宋" w:cs="仿宋"/>
          <w:bCs/>
          <w:color w:val="000000"/>
          <w:sz w:val="32"/>
          <w:szCs w:val="32"/>
          <w:lang w:val="en-US" w:eastAsia="zh-CN"/>
        </w:rPr>
        <w:t>并注明使用的道地药材在处方中的君臣佐使作用</w:t>
      </w:r>
      <w:r>
        <w:rPr>
          <w:rFonts w:hint="eastAsia" w:ascii="仿宋" w:hAnsi="仿宋" w:eastAsia="仿宋" w:cs="仿宋"/>
          <w:bCs/>
          <w:color w:val="000000"/>
          <w:sz w:val="32"/>
          <w:szCs w:val="32"/>
        </w:rPr>
        <w:t>。</w:t>
      </w:r>
    </w:p>
    <w:p>
      <w:pPr>
        <w:keepNext w:val="0"/>
        <w:keepLines w:val="0"/>
        <w:pageBreakBefore w:val="0"/>
        <w:kinsoku/>
        <w:wordWrap/>
        <w:overflowPunct/>
        <w:topLinePunct w:val="0"/>
        <w:bidi w:val="0"/>
        <w:adjustRightInd/>
        <w:snapToGrid/>
        <w:spacing w:line="590" w:lineRule="exact"/>
        <w:ind w:firstLine="422"/>
        <w:outlineLvl w:val="1"/>
        <w:rPr>
          <w:rFonts w:hint="eastAsia" w:ascii="楷体" w:hAnsi="楷体" w:eastAsia="楷体" w:cs="楷体"/>
          <w:b w:val="0"/>
          <w:bCs w:val="0"/>
          <w:color w:val="000000"/>
          <w:sz w:val="32"/>
          <w:szCs w:val="32"/>
        </w:rPr>
      </w:pPr>
      <w:bookmarkStart w:id="0" w:name="_Toc21090"/>
      <w:bookmarkStart w:id="1" w:name="_Toc88654644"/>
      <w:bookmarkStart w:id="2" w:name="_Toc15165"/>
      <w:bookmarkStart w:id="3" w:name="_Toc1135"/>
      <w:bookmarkStart w:id="4" w:name="_Toc10864"/>
      <w:bookmarkStart w:id="5" w:name="_Toc22319"/>
      <w:r>
        <w:rPr>
          <w:rFonts w:hint="eastAsia" w:ascii="楷体" w:hAnsi="楷体" w:eastAsia="楷体" w:cs="楷体"/>
          <w:b w:val="0"/>
          <w:bCs w:val="0"/>
          <w:color w:val="000000"/>
          <w:sz w:val="32"/>
          <w:szCs w:val="32"/>
        </w:rPr>
        <w:t>（</w:t>
      </w:r>
      <w:r>
        <w:rPr>
          <w:rFonts w:hint="eastAsia" w:ascii="楷体" w:hAnsi="楷体" w:eastAsia="楷体" w:cs="楷体"/>
          <w:b w:val="0"/>
          <w:bCs w:val="0"/>
          <w:color w:val="000000"/>
          <w:sz w:val="32"/>
          <w:szCs w:val="32"/>
          <w:lang w:val="en-US" w:eastAsia="zh-CN"/>
        </w:rPr>
        <w:t>三</w:t>
      </w:r>
      <w:r>
        <w:rPr>
          <w:rFonts w:hint="eastAsia" w:ascii="楷体" w:hAnsi="楷体" w:eastAsia="楷体" w:cs="楷体"/>
          <w:b w:val="0"/>
          <w:bCs w:val="0"/>
          <w:color w:val="000000"/>
          <w:sz w:val="32"/>
          <w:szCs w:val="32"/>
        </w:rPr>
        <w:t>）加分项：新药成果转化评价</w:t>
      </w:r>
      <w:bookmarkEnd w:id="0"/>
      <w:bookmarkEnd w:id="1"/>
      <w:bookmarkEnd w:id="2"/>
      <w:bookmarkEnd w:id="3"/>
      <w:bookmarkEnd w:id="4"/>
      <w:bookmarkEnd w:id="5"/>
    </w:p>
    <w:p>
      <w:pPr>
        <w:keepNext w:val="0"/>
        <w:keepLines w:val="0"/>
        <w:pageBreakBefore w:val="0"/>
        <w:kinsoku/>
        <w:wordWrap/>
        <w:overflowPunct/>
        <w:topLinePunct w:val="0"/>
        <w:bidi w:val="0"/>
        <w:adjustRightInd/>
        <w:snapToGrid/>
        <w:spacing w:line="590" w:lineRule="exact"/>
        <w:ind w:firstLine="643" w:firstLineChars="200"/>
        <w:outlineLvl w:val="2"/>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1.</w:t>
      </w:r>
      <w:r>
        <w:rPr>
          <w:rFonts w:hint="eastAsia" w:ascii="仿宋" w:hAnsi="仿宋" w:eastAsia="仿宋" w:cs="仿宋"/>
          <w:b/>
          <w:bCs/>
          <w:color w:val="000000"/>
          <w:sz w:val="32"/>
          <w:szCs w:val="32"/>
        </w:rPr>
        <w:t>已入选</w:t>
      </w:r>
      <w:r>
        <w:rPr>
          <w:rFonts w:hint="eastAsia" w:ascii="仿宋" w:hAnsi="仿宋" w:eastAsia="仿宋" w:cs="仿宋"/>
          <w:b/>
          <w:bCs/>
          <w:color w:val="000000"/>
          <w:kern w:val="0"/>
          <w:sz w:val="32"/>
          <w:szCs w:val="32"/>
          <w:lang w:val="zh-CN" w:bidi="zh-CN"/>
        </w:rPr>
        <w:t>广东省医保药品目录</w:t>
      </w:r>
      <w:r>
        <w:rPr>
          <w:rFonts w:hint="eastAsia" w:ascii="仿宋" w:hAnsi="仿宋" w:eastAsia="仿宋" w:cs="仿宋"/>
          <w:b/>
          <w:bCs/>
          <w:color w:val="000000"/>
          <w:sz w:val="32"/>
          <w:szCs w:val="32"/>
        </w:rPr>
        <w:t>。</w:t>
      </w:r>
      <w:r>
        <w:rPr>
          <w:rFonts w:hint="eastAsia" w:ascii="仿宋" w:hAnsi="仿宋" w:eastAsia="仿宋" w:cs="仿宋"/>
          <w:color w:val="000000"/>
          <w:sz w:val="32"/>
          <w:szCs w:val="32"/>
          <w:lang w:val="zh-CN"/>
        </w:rPr>
        <w:t>应提供相关证明材料。</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i w:val="0"/>
          <w:iCs w:val="0"/>
          <w:caps w:val="0"/>
          <w:color w:val="000000"/>
          <w:spacing w:val="0"/>
          <w:sz w:val="32"/>
          <w:szCs w:val="32"/>
          <w:shd w:val="clear" w:color="auto" w:fill="auto"/>
          <w:lang w:val="en-US" w:eastAsia="zh-CN"/>
        </w:rPr>
      </w:pPr>
      <w:r>
        <w:rPr>
          <w:rFonts w:hint="eastAsia" w:ascii="仿宋" w:hAnsi="仿宋" w:eastAsia="仿宋" w:cs="仿宋"/>
          <w:b/>
          <w:bCs/>
          <w:color w:val="000000"/>
          <w:sz w:val="32"/>
          <w:szCs w:val="32"/>
          <w:lang w:val="en-US" w:eastAsia="zh-CN"/>
        </w:rPr>
        <w:t>2.近5年内已取得药物临床试验批件。</w:t>
      </w:r>
      <w:r>
        <w:rPr>
          <w:rFonts w:hint="eastAsia" w:ascii="仿宋" w:hAnsi="仿宋" w:eastAsia="仿宋" w:cs="仿宋"/>
          <w:b w:val="0"/>
          <w:bCs w:val="0"/>
          <w:color w:val="000000"/>
          <w:sz w:val="32"/>
          <w:szCs w:val="32"/>
          <w:lang w:val="en-US" w:eastAsia="zh-CN"/>
        </w:rPr>
        <w:t>应提供近5年内获得的国家药品监督管理局颁发的《药物临床试验批件》复印件等相关证明性文件</w:t>
      </w:r>
      <w:r>
        <w:rPr>
          <w:rFonts w:hint="eastAsia" w:ascii="仿宋" w:hAnsi="仿宋" w:eastAsia="仿宋" w:cs="仿宋"/>
          <w:i w:val="0"/>
          <w:iCs w:val="0"/>
          <w:caps w:val="0"/>
          <w:color w:val="000000"/>
          <w:spacing w:val="0"/>
          <w:sz w:val="32"/>
          <w:szCs w:val="32"/>
          <w:shd w:val="clear" w:color="auto" w:fill="auto"/>
          <w:lang w:val="en-US" w:eastAsia="zh-CN"/>
        </w:rPr>
        <w:t>。</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rPr>
      </w:pPr>
      <w:r>
        <w:rPr>
          <w:rFonts w:hint="eastAsia" w:ascii="仿宋" w:hAnsi="仿宋" w:eastAsia="仿宋" w:cs="仿宋"/>
          <w:b/>
          <w:bCs/>
          <w:color w:val="000000"/>
          <w:sz w:val="32"/>
          <w:szCs w:val="32"/>
          <w:lang w:val="en-US" w:eastAsia="zh-CN"/>
        </w:rPr>
        <w:t>3.</w:t>
      </w:r>
      <w:r>
        <w:rPr>
          <w:rFonts w:hint="eastAsia" w:ascii="仿宋" w:hAnsi="仿宋" w:eastAsia="仿宋" w:cs="仿宋"/>
          <w:b/>
          <w:bCs/>
          <w:color w:val="000000"/>
          <w:sz w:val="32"/>
          <w:szCs w:val="32"/>
        </w:rPr>
        <w:t>符合疾病、病种的市场需求</w:t>
      </w:r>
      <w:r>
        <w:rPr>
          <w:rFonts w:hint="eastAsia" w:ascii="仿宋" w:hAnsi="仿宋" w:eastAsia="仿宋" w:cs="仿宋"/>
          <w:b/>
          <w:bCs/>
          <w:color w:val="000000"/>
          <w:sz w:val="32"/>
          <w:szCs w:val="32"/>
          <w:lang w:eastAsia="zh-CN"/>
        </w:rPr>
        <w:t>，</w:t>
      </w:r>
      <w:r>
        <w:rPr>
          <w:rFonts w:hint="eastAsia" w:ascii="仿宋" w:hAnsi="仿宋" w:eastAsia="仿宋" w:cs="仿宋"/>
          <w:b/>
          <w:bCs w:val="0"/>
          <w:color w:val="000000"/>
          <w:sz w:val="32"/>
          <w:szCs w:val="32"/>
        </w:rPr>
        <w:t>已获得处方组方、工艺发明专利；或有相关资料支撑</w:t>
      </w:r>
      <w:r>
        <w:rPr>
          <w:rFonts w:hint="eastAsia" w:ascii="仿宋" w:hAnsi="仿宋" w:eastAsia="仿宋" w:cs="仿宋"/>
          <w:b/>
          <w:bCs w:val="0"/>
          <w:color w:val="000000"/>
          <w:sz w:val="32"/>
          <w:szCs w:val="32"/>
          <w:lang w:val="en-US" w:eastAsia="zh-CN"/>
        </w:rPr>
        <w:t>其</w:t>
      </w:r>
      <w:r>
        <w:rPr>
          <w:rFonts w:hint="eastAsia" w:ascii="仿宋" w:hAnsi="仿宋" w:eastAsia="仿宋" w:cs="仿宋"/>
          <w:b/>
          <w:bCs w:val="0"/>
          <w:color w:val="000000"/>
          <w:sz w:val="32"/>
          <w:szCs w:val="32"/>
        </w:rPr>
        <w:t>为申报单位独家拥有且产权清晰的产品（如出具产权承诺函、查新报告等）。</w:t>
      </w:r>
      <w:r>
        <w:rPr>
          <w:rFonts w:hint="eastAsia" w:ascii="仿宋" w:hAnsi="仿宋" w:eastAsia="仿宋" w:cs="仿宋"/>
          <w:bCs/>
          <w:color w:val="000000"/>
          <w:sz w:val="32"/>
          <w:szCs w:val="32"/>
        </w:rPr>
        <w:t>应提供专利证书复印件</w:t>
      </w:r>
      <w:r>
        <w:rPr>
          <w:rFonts w:hint="eastAsia" w:ascii="仿宋" w:hAnsi="仿宋" w:eastAsia="仿宋" w:cs="仿宋"/>
          <w:bCs/>
          <w:color w:val="000000"/>
          <w:sz w:val="32"/>
          <w:szCs w:val="32"/>
          <w:lang w:eastAsia="zh-CN"/>
        </w:rPr>
        <w:t>等</w:t>
      </w:r>
      <w:r>
        <w:rPr>
          <w:rFonts w:hint="eastAsia" w:ascii="仿宋" w:hAnsi="仿宋" w:eastAsia="仿宋" w:cs="仿宋"/>
          <w:bCs/>
          <w:color w:val="000000"/>
          <w:sz w:val="32"/>
          <w:szCs w:val="32"/>
        </w:rPr>
        <w:t>相关证明资料。</w:t>
      </w:r>
      <w:r>
        <w:rPr>
          <w:rFonts w:hint="eastAsia" w:ascii="仿宋" w:hAnsi="仿宋" w:eastAsia="仿宋" w:cs="仿宋"/>
          <w:bCs/>
          <w:color w:val="000000"/>
          <w:sz w:val="32"/>
          <w:szCs w:val="32"/>
          <w:lang w:eastAsia="zh-CN"/>
        </w:rPr>
        <w:t>如认为</w:t>
      </w:r>
      <w:r>
        <w:rPr>
          <w:rFonts w:hint="eastAsia" w:ascii="仿宋" w:hAnsi="仿宋" w:eastAsia="仿宋" w:cs="仿宋"/>
          <w:b w:val="0"/>
          <w:bCs/>
          <w:color w:val="000000"/>
          <w:sz w:val="32"/>
          <w:szCs w:val="32"/>
          <w:lang w:eastAsia="zh-CN"/>
        </w:rPr>
        <w:t>“</w:t>
      </w:r>
      <w:r>
        <w:rPr>
          <w:rFonts w:hint="eastAsia" w:ascii="仿宋" w:hAnsi="仿宋" w:eastAsia="仿宋" w:cs="仿宋"/>
          <w:b w:val="0"/>
          <w:bCs/>
          <w:color w:val="000000"/>
          <w:sz w:val="32"/>
          <w:szCs w:val="32"/>
        </w:rPr>
        <w:t>符合疾病、病种的市场需求</w:t>
      </w:r>
      <w:r>
        <w:rPr>
          <w:rFonts w:hint="eastAsia" w:ascii="仿宋" w:hAnsi="仿宋" w:eastAsia="仿宋" w:cs="仿宋"/>
          <w:b w:val="0"/>
          <w:bCs/>
          <w:color w:val="000000"/>
          <w:sz w:val="32"/>
          <w:szCs w:val="32"/>
          <w:lang w:eastAsia="zh-CN"/>
        </w:rPr>
        <w:t>”</w:t>
      </w:r>
      <w:r>
        <w:rPr>
          <w:rFonts w:hint="eastAsia" w:ascii="仿宋" w:hAnsi="仿宋" w:eastAsia="仿宋" w:cs="仿宋"/>
          <w:bCs/>
          <w:color w:val="000000"/>
          <w:sz w:val="32"/>
          <w:szCs w:val="32"/>
          <w:lang w:eastAsia="zh-CN"/>
        </w:rPr>
        <w:t>加分项的，需提交相关叙述文件，</w:t>
      </w:r>
      <w:r>
        <w:rPr>
          <w:rFonts w:hint="eastAsia" w:ascii="仿宋" w:hAnsi="仿宋" w:eastAsia="仿宋" w:cs="仿宋"/>
          <w:bCs/>
          <w:color w:val="000000"/>
          <w:sz w:val="32"/>
          <w:szCs w:val="32"/>
        </w:rPr>
        <w:t>相关支撑资料</w:t>
      </w:r>
      <w:r>
        <w:rPr>
          <w:rFonts w:hint="eastAsia" w:ascii="仿宋" w:hAnsi="仿宋" w:eastAsia="仿宋" w:cs="仿宋"/>
          <w:bCs/>
          <w:color w:val="000000"/>
          <w:sz w:val="32"/>
          <w:szCs w:val="32"/>
          <w:lang w:eastAsia="zh-CN"/>
        </w:rPr>
        <w:t>由企业专家查询：</w:t>
      </w:r>
      <w:r>
        <w:rPr>
          <w:rFonts w:hint="eastAsia" w:ascii="仿宋" w:hAnsi="仿宋" w:eastAsia="仿宋" w:cs="仿宋"/>
          <w:bCs/>
          <w:color w:val="000000"/>
          <w:sz w:val="32"/>
          <w:szCs w:val="32"/>
        </w:rPr>
        <w:t>如现有疾病、病种的市场规模考察制剂</w:t>
      </w:r>
      <w:r>
        <w:rPr>
          <w:rFonts w:hint="eastAsia" w:ascii="仿宋" w:hAnsi="仿宋" w:eastAsia="仿宋" w:cs="仿宋"/>
          <w:bCs/>
          <w:color w:val="000000"/>
          <w:sz w:val="32"/>
          <w:szCs w:val="32"/>
          <w:lang w:eastAsia="zh-CN"/>
        </w:rPr>
        <w:t>近</w:t>
      </w:r>
      <w:r>
        <w:rPr>
          <w:rFonts w:hint="eastAsia" w:ascii="仿宋" w:hAnsi="仿宋" w:eastAsia="仿宋" w:cs="仿宋"/>
          <w:bCs/>
          <w:color w:val="000000"/>
          <w:sz w:val="32"/>
          <w:szCs w:val="32"/>
        </w:rPr>
        <w:t>3年在医院端的年均销量及日搜评分（网络爬虫）；市场容量潜力使</w:t>
      </w:r>
      <w:r>
        <w:rPr>
          <w:rFonts w:hint="eastAsia" w:ascii="仿宋" w:hAnsi="仿宋" w:eastAsia="仿宋" w:cs="仿宋"/>
          <w:color w:val="000000"/>
          <w:sz w:val="32"/>
          <w:szCs w:val="32"/>
        </w:rPr>
        <w:t>用米内数据等考察药物大类销量等。</w:t>
      </w:r>
    </w:p>
    <w:p>
      <w:pPr>
        <w:pStyle w:val="7"/>
        <w:keepNext w:val="0"/>
        <w:keepLines w:val="0"/>
        <w:pageBreakBefore w:val="0"/>
        <w:kinsoku/>
        <w:wordWrap/>
        <w:overflowPunct/>
        <w:topLinePunct w:val="0"/>
        <w:bidi w:val="0"/>
        <w:adjustRightInd/>
        <w:snapToGrid/>
        <w:spacing w:before="0" w:line="590" w:lineRule="exact"/>
        <w:rPr>
          <w:rFonts w:hint="default" w:eastAsia="仿宋"/>
          <w:color w:val="000000"/>
          <w:lang w:val="en-US" w:eastAsia="zh-CN"/>
        </w:rPr>
      </w:pPr>
      <w:r>
        <w:rPr>
          <w:rFonts w:hint="eastAsia" w:ascii="仿宋" w:hAnsi="仿宋" w:cs="仿宋"/>
          <w:color w:val="000000"/>
          <w:sz w:val="32"/>
          <w:szCs w:val="32"/>
          <w:lang w:val="en-US" w:eastAsia="zh-CN"/>
        </w:rPr>
        <w:t xml:space="preserve">  </w:t>
      </w:r>
      <w:r>
        <w:rPr>
          <w:rFonts w:hint="eastAsia" w:ascii="仿宋" w:hAnsi="仿宋" w:cs="仿宋"/>
          <w:b/>
          <w:bCs/>
          <w:color w:val="000000"/>
          <w:sz w:val="32"/>
          <w:szCs w:val="32"/>
          <w:lang w:val="en-US" w:eastAsia="zh-CN"/>
        </w:rPr>
        <w:t xml:space="preserve"> 4</w:t>
      </w:r>
      <w:r>
        <w:rPr>
          <w:rFonts w:hint="eastAsia" w:ascii="仿宋" w:hAnsi="仿宋" w:cs="仿宋"/>
          <w:b/>
          <w:bCs/>
          <w:color w:val="000000"/>
          <w:kern w:val="2"/>
          <w:sz w:val="32"/>
          <w:szCs w:val="32"/>
          <w:lang w:val="en-US" w:eastAsia="zh-CN" w:bidi="ar-SA"/>
        </w:rPr>
        <w:t>.获得科技成果奖</w:t>
      </w:r>
      <w:r>
        <w:rPr>
          <w:rFonts w:hint="eastAsia" w:ascii="仿宋" w:hAnsi="仿宋" w:cs="仿宋"/>
          <w:color w:val="000000"/>
          <w:kern w:val="2"/>
          <w:sz w:val="32"/>
          <w:szCs w:val="32"/>
          <w:lang w:val="en-US" w:eastAsia="zh-CN" w:bidi="ar-SA"/>
        </w:rPr>
        <w:t>。制剂相关研究曾</w:t>
      </w:r>
      <w:r>
        <w:rPr>
          <w:rFonts w:hint="eastAsia" w:ascii="仿宋" w:hAnsi="仿宋" w:eastAsia="仿宋" w:cs="仿宋"/>
          <w:color w:val="000000"/>
          <w:kern w:val="2"/>
          <w:sz w:val="32"/>
          <w:szCs w:val="32"/>
          <w:vertAlign w:val="baseline"/>
          <w:lang w:val="en-US" w:eastAsia="zh-CN" w:bidi="ar-SA"/>
        </w:rPr>
        <w:t>获得国家</w:t>
      </w:r>
      <w:r>
        <w:rPr>
          <w:rFonts w:hint="eastAsia" w:ascii="仿宋" w:hAnsi="仿宋" w:cs="仿宋"/>
          <w:color w:val="000000"/>
          <w:kern w:val="2"/>
          <w:sz w:val="32"/>
          <w:szCs w:val="32"/>
          <w:vertAlign w:val="baseline"/>
          <w:lang w:val="en-US" w:eastAsia="zh-CN" w:bidi="ar-SA"/>
        </w:rPr>
        <w:t>级或部委级</w:t>
      </w:r>
      <w:r>
        <w:rPr>
          <w:rFonts w:hint="eastAsia" w:ascii="仿宋" w:hAnsi="仿宋" w:eastAsia="仿宋" w:cs="仿宋"/>
          <w:color w:val="000000"/>
          <w:kern w:val="2"/>
          <w:sz w:val="32"/>
          <w:szCs w:val="32"/>
          <w:vertAlign w:val="baseline"/>
          <w:lang w:val="en-US" w:eastAsia="zh-CN" w:bidi="ar-SA"/>
        </w:rPr>
        <w:t>科技成果</w:t>
      </w:r>
      <w:r>
        <w:rPr>
          <w:rFonts w:hint="eastAsia" w:ascii="仿宋" w:hAnsi="仿宋" w:cs="仿宋"/>
          <w:color w:val="000000"/>
          <w:kern w:val="2"/>
          <w:sz w:val="32"/>
          <w:szCs w:val="32"/>
          <w:vertAlign w:val="baseline"/>
          <w:lang w:val="en-US" w:eastAsia="zh-CN" w:bidi="ar-SA"/>
        </w:rPr>
        <w:t>三</w:t>
      </w:r>
      <w:r>
        <w:rPr>
          <w:rFonts w:hint="eastAsia" w:ascii="仿宋" w:hAnsi="仿宋" w:eastAsia="仿宋" w:cs="仿宋"/>
          <w:color w:val="000000"/>
          <w:kern w:val="2"/>
          <w:sz w:val="32"/>
          <w:szCs w:val="32"/>
          <w:vertAlign w:val="baseline"/>
          <w:lang w:val="en-US" w:eastAsia="zh-CN" w:bidi="ar-SA"/>
        </w:rPr>
        <w:t>等奖以上</w:t>
      </w:r>
      <w:r>
        <w:rPr>
          <w:rFonts w:hint="eastAsia" w:ascii="仿宋" w:hAnsi="仿宋" w:cs="仿宋"/>
          <w:color w:val="000000"/>
          <w:kern w:val="2"/>
          <w:sz w:val="32"/>
          <w:szCs w:val="32"/>
          <w:vertAlign w:val="baseline"/>
          <w:lang w:val="en-US" w:eastAsia="zh-CN" w:bidi="ar-SA"/>
        </w:rPr>
        <w:t>的，应提供相关证明性文件。</w:t>
      </w:r>
    </w:p>
    <w:p>
      <w:pPr>
        <w:keepNext w:val="0"/>
        <w:keepLines w:val="0"/>
        <w:pageBreakBefore w:val="0"/>
        <w:kinsoku/>
        <w:wordWrap/>
        <w:overflowPunct/>
        <w:topLinePunct w:val="0"/>
        <w:bidi w:val="0"/>
        <w:adjustRightInd/>
        <w:snapToGrid/>
        <w:spacing w:line="590" w:lineRule="exact"/>
        <w:ind w:firstLine="640"/>
        <w:rPr>
          <w:rFonts w:hint="eastAsia" w:ascii="黑体" w:hAnsi="黑体" w:eastAsia="黑体" w:cs="黑体"/>
          <w:bCs/>
          <w:color w:val="000000"/>
          <w:sz w:val="32"/>
          <w:szCs w:val="32"/>
        </w:rPr>
      </w:pPr>
      <w:r>
        <w:rPr>
          <w:rFonts w:hint="eastAsia" w:ascii="黑体" w:hAnsi="黑体" w:eastAsia="黑体" w:cs="黑体"/>
          <w:bCs/>
          <w:color w:val="000000"/>
          <w:sz w:val="32"/>
          <w:szCs w:val="32"/>
          <w:lang w:eastAsia="zh-CN"/>
        </w:rPr>
        <w:t>五、申报资料清单</w:t>
      </w:r>
      <w:r>
        <w:rPr>
          <w:rFonts w:hint="eastAsia" w:ascii="黑体" w:hAnsi="黑体" w:eastAsia="黑体" w:cs="黑体"/>
          <w:bCs/>
          <w:color w:val="000000"/>
          <w:sz w:val="32"/>
          <w:szCs w:val="32"/>
        </w:rPr>
        <w:t>及</w:t>
      </w:r>
      <w:r>
        <w:rPr>
          <w:rFonts w:hint="eastAsia" w:ascii="黑体" w:hAnsi="黑体" w:eastAsia="黑体" w:cs="黑体"/>
          <w:bCs/>
          <w:color w:val="000000"/>
          <w:sz w:val="32"/>
          <w:szCs w:val="32"/>
          <w:lang w:eastAsia="zh-CN"/>
        </w:rPr>
        <w:t>格式</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（一）申报资料项目</w:t>
      </w:r>
    </w:p>
    <w:p>
      <w:pPr>
        <w:keepNext w:val="0"/>
        <w:keepLines w:val="0"/>
        <w:pageBreakBefore w:val="0"/>
        <w:widowControl w:val="0"/>
        <w:kinsoku/>
        <w:wordWrap/>
        <w:overflowPunct/>
        <w:topLinePunct w:val="0"/>
        <w:bidi w:val="0"/>
        <w:adjustRightInd/>
        <w:snapToGrid/>
        <w:spacing w:line="590" w:lineRule="exact"/>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1.《广东省医疗机构制剂“岭南名方”遴选申报表1》（见附表1）原件一式两份。</w:t>
      </w:r>
    </w:p>
    <w:p>
      <w:pPr>
        <w:pStyle w:val="7"/>
        <w:keepNext w:val="0"/>
        <w:keepLines w:val="0"/>
        <w:pageBreakBefore w:val="0"/>
        <w:widowControl w:val="0"/>
        <w:kinsoku/>
        <w:wordWrap/>
        <w:overflowPunct/>
        <w:topLinePunct w:val="0"/>
        <w:bidi w:val="0"/>
        <w:adjustRightInd/>
        <w:snapToGrid/>
        <w:spacing w:before="0" w:line="590" w:lineRule="exact"/>
        <w:ind w:firstLine="640" w:firstLineChars="200"/>
        <w:textAlignment w:val="auto"/>
        <w:outlineLvl w:val="9"/>
        <w:rPr>
          <w:rFonts w:hint="eastAsia"/>
          <w:color w:val="000000"/>
          <w:lang w:val="en-US" w:eastAsia="zh-CN"/>
        </w:rPr>
      </w:pPr>
      <w:r>
        <w:rPr>
          <w:rFonts w:hint="eastAsia" w:ascii="仿宋" w:hAnsi="仿宋" w:cs="仿宋"/>
          <w:color w:val="000000"/>
          <w:sz w:val="32"/>
          <w:szCs w:val="32"/>
          <w:lang w:val="en-US" w:eastAsia="zh-CN"/>
        </w:rPr>
        <w:t>2.《广东省医疗机构制剂“岭南名方”遴选</w:t>
      </w:r>
      <w:r>
        <w:rPr>
          <w:rFonts w:hint="eastAsia" w:ascii="仿宋" w:hAnsi="仿宋" w:eastAsia="仿宋" w:cs="仿宋"/>
          <w:color w:val="000000"/>
          <w:sz w:val="32"/>
          <w:szCs w:val="32"/>
          <w:lang w:val="en-US" w:eastAsia="zh-CN"/>
        </w:rPr>
        <w:t>申报表</w:t>
      </w:r>
      <w:r>
        <w:rPr>
          <w:rFonts w:hint="eastAsia" w:ascii="仿宋" w:hAnsi="仿宋" w:cs="仿宋"/>
          <w:color w:val="000000"/>
          <w:sz w:val="32"/>
          <w:szCs w:val="32"/>
          <w:lang w:val="en-US" w:eastAsia="zh-CN"/>
        </w:rPr>
        <w:t>2》</w:t>
      </w:r>
      <w:r>
        <w:rPr>
          <w:rFonts w:hint="eastAsia" w:ascii="仿宋" w:hAnsi="仿宋" w:eastAsia="仿宋" w:cs="仿宋"/>
          <w:color w:val="000000"/>
          <w:sz w:val="32"/>
          <w:szCs w:val="32"/>
          <w:lang w:val="en-US" w:eastAsia="zh-CN"/>
        </w:rPr>
        <w:t>原件一式两份</w:t>
      </w:r>
      <w:r>
        <w:rPr>
          <w:rFonts w:hint="eastAsia" w:ascii="仿宋" w:hAnsi="仿宋" w:cs="仿宋"/>
          <w:color w:val="000000"/>
          <w:sz w:val="32"/>
          <w:szCs w:val="32"/>
          <w:lang w:val="en-US" w:eastAsia="zh-CN"/>
        </w:rPr>
        <w:t>（见附表2）。</w:t>
      </w:r>
    </w:p>
    <w:p>
      <w:pPr>
        <w:keepNext w:val="0"/>
        <w:keepLines w:val="0"/>
        <w:pageBreakBefore w:val="0"/>
        <w:widowControl w:val="0"/>
        <w:kinsoku/>
        <w:wordWrap/>
        <w:overflowPunct/>
        <w:topLinePunct w:val="0"/>
        <w:bidi w:val="0"/>
        <w:adjustRightInd/>
        <w:snapToGrid/>
        <w:spacing w:line="590" w:lineRule="exact"/>
        <w:ind w:firstLine="640" w:firstLineChars="200"/>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3.中医</w:t>
      </w:r>
      <w:r>
        <w:rPr>
          <w:rFonts w:hint="eastAsia" w:ascii="仿宋" w:hAnsi="仿宋" w:eastAsia="仿宋" w:cs="仿宋"/>
          <w:color w:val="000000"/>
          <w:sz w:val="32"/>
          <w:szCs w:val="32"/>
        </w:rPr>
        <w:t>临床</w:t>
      </w:r>
      <w:r>
        <w:rPr>
          <w:rFonts w:hint="eastAsia" w:ascii="仿宋" w:hAnsi="仿宋" w:eastAsia="仿宋" w:cs="仿宋"/>
          <w:color w:val="000000"/>
          <w:sz w:val="32"/>
          <w:szCs w:val="32"/>
          <w:lang w:val="en-US" w:eastAsia="zh-CN"/>
        </w:rPr>
        <w:t>评价</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药学综合</w:t>
      </w:r>
      <w:r>
        <w:rPr>
          <w:rFonts w:hint="eastAsia" w:ascii="仿宋" w:hAnsi="仿宋" w:eastAsia="仿宋" w:cs="仿宋"/>
          <w:color w:val="000000"/>
          <w:sz w:val="32"/>
          <w:szCs w:val="32"/>
        </w:rPr>
        <w:t>评价、新药成果转化</w:t>
      </w:r>
      <w:r>
        <w:rPr>
          <w:rFonts w:hint="eastAsia" w:ascii="仿宋" w:hAnsi="仿宋" w:eastAsia="仿宋" w:cs="仿宋"/>
          <w:color w:val="000000"/>
          <w:sz w:val="32"/>
          <w:szCs w:val="32"/>
          <w:lang w:val="en-US" w:eastAsia="zh-CN"/>
        </w:rPr>
        <w:t>评价的佐证材料，一式一份。</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（二）申报资料应当按要求真实、准确、完整填报，应加盖申报单位公章，使用三号仿宋字体。申报资料除原件外，还需发送电子版及扫描件到指定邮箱。</w:t>
      </w:r>
    </w:p>
    <w:p>
      <w:pPr>
        <w:pStyle w:val="2"/>
        <w:keepNext w:val="0"/>
        <w:keepLines w:val="0"/>
        <w:pageBreakBefore w:val="0"/>
        <w:numPr>
          <w:ilvl w:val="0"/>
          <w:numId w:val="0"/>
        </w:numPr>
        <w:kinsoku/>
        <w:wordWrap/>
        <w:overflowPunct/>
        <w:topLinePunct w:val="0"/>
        <w:bidi w:val="0"/>
        <w:adjustRightInd/>
        <w:snapToGrid/>
        <w:spacing w:line="590" w:lineRule="exact"/>
        <w:ind w:firstLine="640" w:firstLineChars="200"/>
        <w:jc w:val="both"/>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六、</w:t>
      </w:r>
      <w:r>
        <w:rPr>
          <w:rFonts w:hint="eastAsia" w:ascii="黑体" w:hAnsi="黑体" w:eastAsia="黑体" w:cs="黑体"/>
          <w:b w:val="0"/>
          <w:bCs/>
          <w:color w:val="000000"/>
          <w:sz w:val="32"/>
          <w:szCs w:val="32"/>
        </w:rPr>
        <w:t>申报程序</w:t>
      </w:r>
      <w:r>
        <w:rPr>
          <w:rFonts w:hint="eastAsia" w:ascii="黑体" w:hAnsi="黑体" w:eastAsia="黑体" w:cs="黑体"/>
          <w:b w:val="0"/>
          <w:bCs/>
          <w:color w:val="000000"/>
          <w:sz w:val="32"/>
          <w:szCs w:val="32"/>
          <w:lang w:eastAsia="zh-CN"/>
        </w:rPr>
        <w:t>及时间</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广东省医疗机构制剂“岭南名方”遴选将根据医疗机构的申报资料，按照遴选程序规范开展。</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1.品种申报。</w:t>
      </w:r>
      <w:r>
        <w:rPr>
          <w:rFonts w:hint="eastAsia" w:ascii="仿宋" w:hAnsi="仿宋" w:eastAsia="仿宋" w:cs="仿宋"/>
          <w:color w:val="000000"/>
          <w:sz w:val="32"/>
          <w:szCs w:val="32"/>
          <w:lang w:val="en-US" w:eastAsia="zh-CN"/>
        </w:rPr>
        <w:t>首批广东省医疗机构制剂“岭南名方”遴选申报时间为20</w:t>
      </w:r>
      <w:r>
        <w:rPr>
          <w:rFonts w:hint="eastAsia" w:ascii="仿宋" w:hAnsi="仿宋" w:cs="仿宋"/>
          <w:color w:val="000000"/>
          <w:sz w:val="32"/>
          <w:szCs w:val="32"/>
          <w:lang w:val="en-US" w:eastAsia="zh-CN"/>
        </w:rPr>
        <w:t>23</w:t>
      </w:r>
      <w:r>
        <w:rPr>
          <w:rFonts w:hint="eastAsia" w:ascii="仿宋" w:hAnsi="仿宋" w:eastAsia="仿宋" w:cs="仿宋"/>
          <w:color w:val="000000"/>
          <w:sz w:val="32"/>
          <w:szCs w:val="32"/>
          <w:lang w:val="en-US" w:eastAsia="zh-CN"/>
        </w:rPr>
        <w:t>年</w:t>
      </w:r>
      <w:r>
        <w:rPr>
          <w:rFonts w:hint="eastAsia" w:ascii="仿宋" w:hAnsi="仿宋" w:cs="仿宋"/>
          <w:color w:val="000000"/>
          <w:sz w:val="32"/>
          <w:szCs w:val="32"/>
          <w:lang w:val="en-US" w:eastAsia="zh-CN"/>
        </w:rPr>
        <w:t>4</w:t>
      </w:r>
      <w:r>
        <w:rPr>
          <w:rFonts w:hint="eastAsia" w:ascii="仿宋" w:hAnsi="仿宋" w:eastAsia="仿宋" w:cs="仿宋"/>
          <w:color w:val="000000"/>
          <w:sz w:val="32"/>
          <w:szCs w:val="32"/>
          <w:lang w:val="en-US" w:eastAsia="zh-CN"/>
        </w:rPr>
        <w:t>月1日至2023年</w:t>
      </w:r>
      <w:r>
        <w:rPr>
          <w:rFonts w:hint="eastAsia" w:ascii="仿宋" w:hAnsi="仿宋" w:cs="仿宋"/>
          <w:color w:val="000000"/>
          <w:sz w:val="32"/>
          <w:szCs w:val="32"/>
          <w:lang w:val="en-US" w:eastAsia="zh-CN"/>
        </w:rPr>
        <w:t>5</w:t>
      </w:r>
      <w:r>
        <w:rPr>
          <w:rFonts w:hint="eastAsia" w:ascii="仿宋" w:hAnsi="仿宋" w:eastAsia="仿宋" w:cs="仿宋"/>
          <w:color w:val="000000"/>
          <w:sz w:val="32"/>
          <w:szCs w:val="32"/>
          <w:lang w:val="en-US" w:eastAsia="zh-CN"/>
        </w:rPr>
        <w:t>月</w:t>
      </w:r>
      <w:r>
        <w:rPr>
          <w:rFonts w:hint="eastAsia" w:ascii="仿宋" w:hAnsi="仿宋" w:cs="仿宋"/>
          <w:color w:val="000000"/>
          <w:sz w:val="32"/>
          <w:szCs w:val="32"/>
          <w:lang w:val="en-US" w:eastAsia="zh-CN"/>
        </w:rPr>
        <w:t>3</w:t>
      </w:r>
      <w:r>
        <w:rPr>
          <w:rFonts w:hint="eastAsia" w:ascii="仿宋" w:hAnsi="仿宋" w:eastAsia="仿宋" w:cs="仿宋"/>
          <w:color w:val="000000"/>
          <w:sz w:val="32"/>
          <w:szCs w:val="32"/>
          <w:lang w:val="en-US" w:eastAsia="zh-CN"/>
        </w:rPr>
        <w:t>1日。申报单位应根据本指南第五点要求准备申报资料，开展自评，并填写申报表1和2，提交申报资料的纸质版和电子版。</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lang w:val="en-US" w:eastAsia="zh-CN"/>
        </w:rPr>
        <w:t>2.资料审核。</w:t>
      </w:r>
      <w:r>
        <w:rPr>
          <w:rFonts w:hint="eastAsia" w:ascii="仿宋" w:hAnsi="仿宋" w:eastAsia="仿宋" w:cs="仿宋"/>
          <w:color w:val="000000"/>
          <w:sz w:val="32"/>
          <w:szCs w:val="32"/>
          <w:lang w:val="en-US" w:eastAsia="zh-CN"/>
        </w:rPr>
        <w:t>广东省医疗机构制剂“岭南名方”遴选工作专班将在启动评价工作后对申报资料进行初核。对于资料不全的单位，将出具申报需补充资料清单，申报单位应在收到发补通知的10个工作日内补齐全部资料并邮寄至组织方指定地址重新审核。审核通过后，提交至遴选专家组。</w:t>
      </w:r>
    </w:p>
    <w:p>
      <w:pPr>
        <w:keepNext w:val="0"/>
        <w:keepLines w:val="0"/>
        <w:pageBreakBefore w:val="0"/>
        <w:kinsoku/>
        <w:wordWrap/>
        <w:overflowPunct/>
        <w:topLinePunct w:val="0"/>
        <w:autoSpaceDE w:val="0"/>
        <w:autoSpaceDN w:val="0"/>
        <w:bidi w:val="0"/>
        <w:adjustRightInd/>
        <w:snapToGrid/>
        <w:spacing w:line="590" w:lineRule="exact"/>
        <w:ind w:firstLine="643" w:firstLineChars="200"/>
        <w:rPr>
          <w:rFonts w:hint="eastAsia" w:ascii="仿宋" w:hAnsi="仿宋" w:eastAsia="仿宋" w:cs="仿宋"/>
          <w:color w:val="000000"/>
          <w:kern w:val="0"/>
          <w:sz w:val="32"/>
          <w:szCs w:val="32"/>
          <w:lang w:val="en-US" w:bidi="zh-CN"/>
        </w:rPr>
      </w:pPr>
      <w:r>
        <w:rPr>
          <w:rFonts w:hint="eastAsia" w:ascii="仿宋" w:hAnsi="仿宋" w:eastAsia="仿宋" w:cs="仿宋"/>
          <w:b/>
          <w:bCs/>
          <w:color w:val="000000"/>
          <w:sz w:val="32"/>
          <w:szCs w:val="32"/>
          <w:lang w:val="en-US" w:eastAsia="zh-CN"/>
        </w:rPr>
        <w:t>3.专家遴选。</w:t>
      </w:r>
      <w:r>
        <w:rPr>
          <w:rFonts w:hint="eastAsia" w:ascii="仿宋" w:hAnsi="仿宋" w:eastAsia="仿宋" w:cs="仿宋"/>
          <w:color w:val="000000"/>
          <w:kern w:val="0"/>
          <w:sz w:val="32"/>
          <w:szCs w:val="32"/>
          <w:lang w:val="en-US" w:eastAsia="zh-CN" w:bidi="zh-CN"/>
        </w:rPr>
        <w:t>“岭南名方”遴选工作专班组织有关</w:t>
      </w:r>
      <w:r>
        <w:rPr>
          <w:rFonts w:hint="eastAsia" w:ascii="仿宋" w:hAnsi="仿宋" w:eastAsia="仿宋" w:cs="仿宋"/>
          <w:color w:val="000000"/>
          <w:kern w:val="0"/>
          <w:sz w:val="32"/>
          <w:szCs w:val="32"/>
          <w:lang w:val="zh-CN" w:eastAsia="zh-CN" w:bidi="zh-CN"/>
        </w:rPr>
        <w:t>专家按照遴选标准及有关工作</w:t>
      </w:r>
      <w:r>
        <w:rPr>
          <w:rFonts w:hint="eastAsia" w:ascii="仿宋" w:hAnsi="仿宋" w:eastAsia="仿宋" w:cs="仿宋"/>
          <w:color w:val="000000"/>
          <w:kern w:val="0"/>
          <w:sz w:val="32"/>
          <w:szCs w:val="32"/>
          <w:lang w:val="en-US" w:eastAsia="zh-CN" w:bidi="zh-CN"/>
        </w:rPr>
        <w:t>文件</w:t>
      </w:r>
      <w:r>
        <w:rPr>
          <w:rFonts w:hint="eastAsia" w:ascii="仿宋" w:hAnsi="仿宋" w:eastAsia="仿宋" w:cs="仿宋"/>
          <w:color w:val="000000"/>
          <w:kern w:val="0"/>
          <w:sz w:val="32"/>
          <w:szCs w:val="32"/>
          <w:lang w:val="zh-CN" w:eastAsia="zh-CN" w:bidi="zh-CN"/>
        </w:rPr>
        <w:t>要求，对医疗机构的申报品种进行初选和终选，最终根据综合评分结果择优入选。</w:t>
      </w:r>
    </w:p>
    <w:p>
      <w:pPr>
        <w:keepNext w:val="0"/>
        <w:keepLines w:val="0"/>
        <w:pageBreakBefore w:val="0"/>
        <w:kinsoku/>
        <w:wordWrap/>
        <w:overflowPunct/>
        <w:topLinePunct w:val="0"/>
        <w:bidi w:val="0"/>
        <w:adjustRightInd/>
        <w:snapToGrid/>
        <w:spacing w:line="590" w:lineRule="exact"/>
        <w:ind w:firstLine="643" w:firstLineChars="200"/>
        <w:rPr>
          <w:rFonts w:hint="eastAsia" w:ascii="仿宋" w:hAnsi="仿宋" w:eastAsia="仿宋" w:cs="仿宋"/>
          <w:color w:val="000000"/>
          <w:kern w:val="0"/>
          <w:sz w:val="32"/>
          <w:szCs w:val="32"/>
          <w:lang w:val="zh-CN" w:bidi="zh-CN"/>
        </w:rPr>
      </w:pPr>
      <w:r>
        <w:rPr>
          <w:rFonts w:hint="eastAsia" w:ascii="仿宋" w:hAnsi="仿宋" w:eastAsia="仿宋" w:cs="仿宋"/>
          <w:b/>
          <w:bCs/>
          <w:color w:val="000000"/>
          <w:kern w:val="0"/>
          <w:sz w:val="32"/>
          <w:szCs w:val="32"/>
          <w:lang w:val="en-US" w:bidi="zh-CN"/>
        </w:rPr>
        <w:t>4.公示确认。</w:t>
      </w:r>
      <w:r>
        <w:rPr>
          <w:rFonts w:hint="eastAsia" w:ascii="仿宋" w:hAnsi="仿宋" w:eastAsia="仿宋" w:cs="仿宋"/>
          <w:color w:val="000000"/>
          <w:sz w:val="32"/>
          <w:szCs w:val="32"/>
          <w:lang w:val="en-US" w:eastAsia="zh-CN"/>
        </w:rPr>
        <w:t>将“岭南名方”推荐名单按要求进行社会公示。经</w:t>
      </w:r>
      <w:r>
        <w:rPr>
          <w:rFonts w:hint="eastAsia" w:ascii="仿宋" w:hAnsi="仿宋" w:eastAsia="仿宋" w:cs="仿宋"/>
          <w:color w:val="000000"/>
          <w:kern w:val="0"/>
          <w:sz w:val="32"/>
          <w:szCs w:val="32"/>
          <w:lang w:val="zh-CN" w:bidi="zh-CN"/>
        </w:rPr>
        <w:t>公示</w:t>
      </w:r>
      <w:r>
        <w:rPr>
          <w:rFonts w:hint="eastAsia" w:ascii="仿宋" w:hAnsi="仿宋" w:eastAsia="仿宋" w:cs="仿宋"/>
          <w:color w:val="000000"/>
          <w:kern w:val="0"/>
          <w:sz w:val="32"/>
          <w:szCs w:val="32"/>
          <w:lang w:bidi="zh-CN"/>
        </w:rPr>
        <w:t>无异议</w:t>
      </w:r>
      <w:r>
        <w:rPr>
          <w:rFonts w:hint="eastAsia" w:ascii="仿宋" w:hAnsi="仿宋" w:eastAsia="仿宋" w:cs="仿宋"/>
          <w:color w:val="000000"/>
          <w:kern w:val="0"/>
          <w:sz w:val="32"/>
          <w:szCs w:val="32"/>
          <w:lang w:val="zh-CN" w:bidi="zh-CN"/>
        </w:rPr>
        <w:t>后，由</w:t>
      </w:r>
      <w:r>
        <w:rPr>
          <w:rFonts w:hint="eastAsia" w:ascii="仿宋" w:hAnsi="仿宋" w:eastAsia="仿宋" w:cs="仿宋"/>
          <w:color w:val="000000"/>
          <w:kern w:val="0"/>
          <w:sz w:val="32"/>
          <w:szCs w:val="32"/>
          <w:lang w:val="en-US" w:bidi="zh-CN"/>
        </w:rPr>
        <w:t>省药品监管局、省医保局、省中医药局三方联合发文，确认为</w:t>
      </w:r>
      <w:r>
        <w:rPr>
          <w:rFonts w:hint="eastAsia" w:ascii="仿宋" w:hAnsi="仿宋" w:eastAsia="仿宋" w:cs="仿宋"/>
          <w:color w:val="000000"/>
          <w:kern w:val="0"/>
          <w:sz w:val="32"/>
          <w:szCs w:val="32"/>
          <w:lang w:val="zh-CN" w:bidi="zh-CN"/>
        </w:rPr>
        <w:t>广东省医疗机构制剂“岭南名方”，并入选品种库。</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kern w:val="0"/>
          <w:sz w:val="32"/>
          <w:szCs w:val="32"/>
          <w:lang w:val="en-US" w:eastAsia="zh-CN" w:bidi="zh-CN"/>
        </w:rPr>
      </w:pPr>
      <w:bookmarkStart w:id="6" w:name="OLE_LINK15"/>
      <w:r>
        <w:rPr>
          <w:rFonts w:hint="eastAsia" w:ascii="仿宋" w:hAnsi="仿宋" w:eastAsia="仿宋" w:cs="仿宋"/>
          <w:color w:val="000000"/>
          <w:sz w:val="32"/>
          <w:szCs w:val="32"/>
          <w:lang w:val="en-US" w:eastAsia="zh-CN"/>
        </w:rPr>
        <w:t>联</w:t>
      </w:r>
      <w:r>
        <w:rPr>
          <w:rFonts w:hint="eastAsia" w:ascii="仿宋" w:hAnsi="仿宋" w:eastAsia="仿宋" w:cs="仿宋"/>
          <w:color w:val="000000"/>
          <w:kern w:val="0"/>
          <w:sz w:val="32"/>
          <w:szCs w:val="32"/>
          <w:lang w:val="en-US" w:eastAsia="zh-CN" w:bidi="zh-CN"/>
        </w:rPr>
        <w:t>系人及联系方式：吴燕玲，020-37885129；张晓婷，020-37886133；刘海燕，020-37886590</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kern w:val="0"/>
          <w:sz w:val="32"/>
          <w:szCs w:val="32"/>
          <w:lang w:val="en-US" w:eastAsia="zh-CN" w:bidi="zh-CN"/>
        </w:rPr>
      </w:pPr>
      <w:r>
        <w:rPr>
          <w:rFonts w:hint="eastAsia" w:ascii="仿宋" w:hAnsi="仿宋" w:eastAsia="仿宋" w:cs="仿宋"/>
          <w:color w:val="000000"/>
          <w:kern w:val="0"/>
          <w:sz w:val="32"/>
          <w:szCs w:val="32"/>
          <w:lang w:val="en-US" w:eastAsia="zh-CN" w:bidi="zh-CN"/>
        </w:rPr>
        <w:t>电子邮箱：gdmpa_ypyc@gd.gov.cn</w:t>
      </w:r>
    </w:p>
    <w:p>
      <w:pPr>
        <w:pStyle w:val="2"/>
        <w:keepNext w:val="0"/>
        <w:keepLines w:val="0"/>
        <w:pageBreakBefore w:val="0"/>
        <w:kinsoku/>
        <w:wordWrap/>
        <w:overflowPunct/>
        <w:topLinePunct w:val="0"/>
        <w:bidi w:val="0"/>
        <w:adjustRightInd/>
        <w:snapToGrid/>
        <w:spacing w:line="590" w:lineRule="exact"/>
        <w:ind w:firstLine="640" w:firstLineChars="200"/>
        <w:jc w:val="left"/>
        <w:rPr>
          <w:rFonts w:hint="eastAsia"/>
          <w:color w:val="000000"/>
          <w:lang w:val="en-US" w:eastAsia="zh-CN"/>
        </w:rPr>
      </w:pPr>
      <w:r>
        <w:rPr>
          <w:rFonts w:hint="eastAsia" w:ascii="仿宋" w:hAnsi="仿宋" w:eastAsia="仿宋" w:cs="仿宋"/>
          <w:color w:val="000000"/>
          <w:sz w:val="32"/>
          <w:szCs w:val="32"/>
          <w:lang w:val="en-US" w:eastAsia="zh-CN"/>
        </w:rPr>
        <w:t>邮寄地址及联系方式：广州市越秀区东风东路753号之二广东省药品监督管理局审评认证中心1815室，吴雪龙，020-37886331。</w:t>
      </w:r>
    </w:p>
    <w:p>
      <w:pPr>
        <w:keepNext w:val="0"/>
        <w:keepLines w:val="0"/>
        <w:pageBreakBefore w:val="0"/>
        <w:kinsoku/>
        <w:wordWrap/>
        <w:overflowPunct/>
        <w:topLinePunct w:val="0"/>
        <w:bidi w:val="0"/>
        <w:adjustRightInd/>
        <w:snapToGrid/>
        <w:spacing w:line="590" w:lineRule="exact"/>
        <w:ind w:firstLine="640" w:firstLineChars="200"/>
        <w:rPr>
          <w:rFonts w:hint="eastAsia" w:ascii="仿宋" w:hAnsi="仿宋" w:eastAsia="仿宋" w:cs="仿宋"/>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right="0" w:firstLine="640" w:firstLineChars="200"/>
        <w:textAlignment w:val="auto"/>
        <w:outlineLvl w:val="9"/>
        <w:rPr>
          <w:rFonts w:hint="eastAsia" w:ascii="仿宋" w:hAnsi="仿宋" w:eastAsia="仿宋" w:cs="仿宋"/>
          <w:color w:val="000000"/>
          <w:kern w:val="0"/>
          <w:sz w:val="32"/>
          <w:szCs w:val="32"/>
        </w:rPr>
      </w:pPr>
      <w:r>
        <w:rPr>
          <w:rFonts w:hint="eastAsia" w:ascii="仿宋" w:hAnsi="仿宋" w:eastAsia="仿宋" w:cs="仿宋"/>
          <w:color w:val="000000"/>
          <w:sz w:val="32"/>
          <w:szCs w:val="32"/>
        </w:rPr>
        <w:t>附</w:t>
      </w:r>
      <w:r>
        <w:rPr>
          <w:rFonts w:hint="eastAsia" w:ascii="仿宋" w:hAnsi="仿宋" w:eastAsia="仿宋" w:cs="仿宋"/>
          <w:color w:val="000000"/>
          <w:sz w:val="32"/>
          <w:szCs w:val="32"/>
          <w:lang w:eastAsia="zh-CN"/>
        </w:rPr>
        <w:t>表</w:t>
      </w:r>
      <w:r>
        <w:rPr>
          <w:rFonts w:hint="eastAsia" w:ascii="仿宋" w:hAnsi="仿宋" w:eastAsia="仿宋" w:cs="仿宋"/>
          <w:color w:val="000000"/>
          <w:sz w:val="32"/>
          <w:szCs w:val="32"/>
        </w:rPr>
        <w:t>：</w:t>
      </w:r>
      <w:r>
        <w:rPr>
          <w:rFonts w:hint="eastAsia" w:ascii="仿宋" w:hAnsi="仿宋" w:eastAsia="仿宋" w:cs="仿宋"/>
          <w:color w:val="000000"/>
          <w:kern w:val="0"/>
          <w:sz w:val="32"/>
          <w:szCs w:val="32"/>
          <w:lang w:val="en-US" w:eastAsia="zh-CN"/>
        </w:rPr>
        <w:t>1</w:t>
      </w:r>
      <w:r>
        <w:rPr>
          <w:rFonts w:hint="eastAsia" w:ascii="仿宋" w:hAnsi="仿宋" w:eastAsia="仿宋" w:cs="仿宋"/>
          <w:color w:val="000000"/>
          <w:kern w:val="0"/>
          <w:sz w:val="32"/>
          <w:szCs w:val="32"/>
        </w:rPr>
        <w:t>.广东省医疗机构制剂“岭南名方”遴选申报表</w:t>
      </w:r>
      <w:r>
        <w:rPr>
          <w:rFonts w:hint="eastAsia" w:ascii="仿宋" w:hAnsi="仿宋" w:cs="仿宋"/>
          <w:color w:val="000000"/>
          <w:kern w:val="0"/>
          <w:sz w:val="32"/>
          <w:szCs w:val="32"/>
          <w:lang w:val="en-US" w:eastAsia="zh-CN"/>
        </w:rPr>
        <w:t>1</w:t>
      </w:r>
    </w:p>
    <w:p>
      <w:pPr>
        <w:pStyle w:val="7"/>
        <w:keepNext w:val="0"/>
        <w:keepLines w:val="0"/>
        <w:pageBreakBefore w:val="0"/>
        <w:kinsoku/>
        <w:wordWrap/>
        <w:overflowPunct/>
        <w:topLinePunct w:val="0"/>
        <w:bidi w:val="0"/>
        <w:adjustRightInd/>
        <w:snapToGrid/>
        <w:spacing w:before="0" w:line="590" w:lineRule="exact"/>
        <w:ind w:firstLine="420" w:firstLineChars="0"/>
        <w:rPr>
          <w:rFonts w:hint="eastAsia" w:ascii="仿宋" w:hAnsi="仿宋" w:eastAsia="仿宋" w:cs="仿宋"/>
          <w:color w:val="000000"/>
          <w:kern w:val="0"/>
          <w:sz w:val="32"/>
          <w:szCs w:val="32"/>
        </w:rPr>
      </w:pPr>
      <w:r>
        <w:rPr>
          <w:rFonts w:hint="eastAsia" w:ascii="仿宋" w:hAnsi="仿宋" w:cs="仿宋"/>
          <w:color w:val="000000"/>
          <w:kern w:val="0"/>
          <w:sz w:val="32"/>
          <w:szCs w:val="32"/>
          <w:lang w:val="en-US" w:eastAsia="zh-CN"/>
        </w:rPr>
        <w:t xml:space="preserve">       </w:t>
      </w:r>
      <w:r>
        <w:rPr>
          <w:rFonts w:hint="eastAsia" w:ascii="仿宋" w:hAnsi="仿宋" w:eastAsia="仿宋" w:cs="仿宋"/>
          <w:color w:val="000000"/>
          <w:kern w:val="0"/>
          <w:sz w:val="32"/>
          <w:szCs w:val="32"/>
          <w:lang w:val="en-US" w:eastAsia="zh-CN"/>
        </w:rPr>
        <w:t>2</w:t>
      </w:r>
      <w:r>
        <w:rPr>
          <w:rFonts w:hint="eastAsia" w:ascii="仿宋" w:hAnsi="仿宋" w:eastAsia="仿宋" w:cs="仿宋"/>
          <w:color w:val="000000"/>
          <w:kern w:val="0"/>
          <w:sz w:val="32"/>
          <w:szCs w:val="32"/>
        </w:rPr>
        <w:t>.广东省医疗机构制剂“岭南名方”遴选</w:t>
      </w:r>
      <w:bookmarkEnd w:id="6"/>
      <w:r>
        <w:rPr>
          <w:rFonts w:hint="eastAsia" w:ascii="仿宋" w:hAnsi="仿宋" w:cs="仿宋"/>
          <w:color w:val="000000"/>
          <w:kern w:val="0"/>
          <w:sz w:val="32"/>
          <w:szCs w:val="32"/>
          <w:lang w:eastAsia="zh-CN"/>
        </w:rPr>
        <w:t>申报表</w:t>
      </w:r>
      <w:r>
        <w:rPr>
          <w:rFonts w:hint="eastAsia" w:ascii="仿宋" w:hAnsi="仿宋" w:cs="仿宋"/>
          <w:color w:val="000000"/>
          <w:kern w:val="0"/>
          <w:sz w:val="32"/>
          <w:szCs w:val="32"/>
          <w:lang w:val="en-US" w:eastAsia="zh-CN"/>
        </w:rPr>
        <w:t>2</w:t>
      </w:r>
    </w:p>
    <w:p>
      <w:pPr>
        <w:pStyle w:val="7"/>
        <w:keepNext w:val="0"/>
        <w:keepLines w:val="0"/>
        <w:pageBreakBefore w:val="0"/>
        <w:kinsoku/>
        <w:wordWrap/>
        <w:overflowPunct/>
        <w:topLinePunct w:val="0"/>
        <w:bidi w:val="0"/>
        <w:adjustRightInd/>
        <w:snapToGrid/>
        <w:spacing w:before="0" w:line="590" w:lineRule="exact"/>
        <w:rPr>
          <w:rFonts w:hint="eastAsia" w:ascii="仿宋" w:hAnsi="仿宋" w:eastAsia="仿宋" w:cs="仿宋"/>
          <w:color w:val="000000"/>
          <w:kern w:val="0"/>
          <w:sz w:val="32"/>
          <w:szCs w:val="32"/>
        </w:rPr>
      </w:pPr>
    </w:p>
    <w:p>
      <w:pPr>
        <w:pStyle w:val="7"/>
        <w:keepNext w:val="0"/>
        <w:keepLines w:val="0"/>
        <w:pageBreakBefore w:val="0"/>
        <w:kinsoku/>
        <w:wordWrap/>
        <w:overflowPunct/>
        <w:topLinePunct w:val="0"/>
        <w:bidi w:val="0"/>
        <w:adjustRightInd/>
        <w:snapToGrid/>
        <w:spacing w:before="0" w:line="590" w:lineRule="exact"/>
        <w:ind w:firstLine="420" w:firstLineChars="0"/>
        <w:rPr>
          <w:rFonts w:hint="eastAsia" w:ascii="仿宋" w:hAnsi="仿宋" w:eastAsia="仿宋" w:cs="仿宋"/>
          <w:color w:val="000000"/>
          <w:kern w:val="0"/>
          <w:sz w:val="32"/>
          <w:szCs w:val="32"/>
        </w:rPr>
        <w:sectPr>
          <w:footerReference r:id="rId3" w:type="default"/>
          <w:pgSz w:w="11906" w:h="16838"/>
          <w:pgMar w:top="1440" w:right="1587" w:bottom="1440" w:left="1587" w:header="851" w:footer="992" w:gutter="0"/>
          <w:pgBorders>
            <w:top w:val="none" w:sz="0" w:space="0"/>
            <w:left w:val="none" w:sz="0" w:space="0"/>
            <w:bottom w:val="none" w:sz="0" w:space="0"/>
            <w:right w:val="none" w:sz="0" w:space="0"/>
          </w:pgBorders>
          <w:pgNumType w:fmt="decimal" w:start="1"/>
          <w:cols w:space="720" w:num="1"/>
          <w:rtlGutter w:val="0"/>
          <w:docGrid w:type="lines" w:linePitch="436" w:charSpace="0"/>
        </w:sectPr>
      </w:pPr>
    </w:p>
    <w:tbl>
      <w:tblPr>
        <w:tblStyle w:val="4"/>
        <w:tblW w:w="10194" w:type="dxa"/>
        <w:jc w:val="center"/>
        <w:tblLayout w:type="fixed"/>
        <w:tblCellMar>
          <w:top w:w="0" w:type="dxa"/>
          <w:left w:w="0" w:type="dxa"/>
          <w:bottom w:w="0" w:type="dxa"/>
          <w:right w:w="0" w:type="dxa"/>
        </w:tblCellMar>
      </w:tblPr>
      <w:tblGrid>
        <w:gridCol w:w="1981"/>
        <w:gridCol w:w="1346"/>
        <w:gridCol w:w="1162"/>
        <w:gridCol w:w="244"/>
        <w:gridCol w:w="1576"/>
        <w:gridCol w:w="1770"/>
        <w:gridCol w:w="442"/>
        <w:gridCol w:w="324"/>
        <w:gridCol w:w="438"/>
        <w:gridCol w:w="911"/>
      </w:tblGrid>
      <w:tr>
        <w:tblPrEx>
          <w:tblCellMar>
            <w:top w:w="0" w:type="dxa"/>
            <w:left w:w="0" w:type="dxa"/>
            <w:bottom w:w="0" w:type="dxa"/>
            <w:right w:w="0" w:type="dxa"/>
          </w:tblCellMar>
        </w:tblPrEx>
        <w:trPr>
          <w:cantSplit/>
          <w:trHeight w:val="405" w:hRule="atLeast"/>
          <w:jc w:val="center"/>
        </w:trPr>
        <w:tc>
          <w:tcPr>
            <w:tcW w:w="10194" w:type="dxa"/>
            <w:gridSpan w:val="10"/>
            <w:tcBorders>
              <w:top w:val="nil"/>
              <w:left w:val="nil"/>
              <w:bottom w:val="nil"/>
              <w:right w:val="nil"/>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before="0" w:line="590" w:lineRule="exact"/>
              <w:ind w:firstLine="420" w:firstLineChars="0"/>
              <w:rPr>
                <w:rFonts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附表1</w:t>
            </w:r>
          </w:p>
        </w:tc>
      </w:tr>
      <w:tr>
        <w:tblPrEx>
          <w:tblCellMar>
            <w:top w:w="0" w:type="dxa"/>
            <w:left w:w="0" w:type="dxa"/>
            <w:bottom w:w="0" w:type="dxa"/>
            <w:right w:w="0" w:type="dxa"/>
          </w:tblCellMar>
        </w:tblPrEx>
        <w:trPr>
          <w:cantSplit/>
          <w:trHeight w:val="1280" w:hRule="atLeast"/>
          <w:jc w:val="center"/>
        </w:trPr>
        <w:tc>
          <w:tcPr>
            <w:tcW w:w="10194" w:type="dxa"/>
            <w:gridSpan w:val="10"/>
            <w:tcBorders>
              <w:top w:val="nil"/>
              <w:left w:val="nil"/>
              <w:bottom w:val="nil"/>
              <w:right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ascii="方正公文小标宋" w:hAnsi="方正公文小标宋" w:eastAsia="方正公文小标宋" w:cs="方正公文小标宋"/>
                <w:i w:val="0"/>
                <w:color w:val="000000"/>
                <w:sz w:val="44"/>
                <w:szCs w:val="44"/>
                <w:u w:val="none"/>
              </w:rPr>
            </w:pPr>
            <w:r>
              <w:rPr>
                <w:rFonts w:hint="eastAsia" w:ascii="方正小标宋简体" w:hAnsi="方正小标宋简体" w:eastAsia="方正小标宋简体" w:cs="方正小标宋简体"/>
                <w:i w:val="0"/>
                <w:color w:val="000000"/>
                <w:kern w:val="0"/>
                <w:sz w:val="44"/>
                <w:szCs w:val="44"/>
                <w:u w:val="none"/>
                <w:lang w:val="en-US" w:eastAsia="zh-CN" w:bidi="ar"/>
              </w:rPr>
              <w:t>广东省医疗机构制剂“岭南名方”遴选申报表1</w:t>
            </w:r>
          </w:p>
        </w:tc>
      </w:tr>
      <w:tr>
        <w:tblPrEx>
          <w:tblCellMar>
            <w:top w:w="0" w:type="dxa"/>
            <w:left w:w="0" w:type="dxa"/>
            <w:bottom w:w="0" w:type="dxa"/>
            <w:right w:w="0" w:type="dxa"/>
          </w:tblCellMar>
        </w:tblPrEx>
        <w:trPr>
          <w:cantSplit/>
          <w:trHeight w:val="283" w:hRule="atLeast"/>
          <w:jc w:val="center"/>
        </w:trPr>
        <w:tc>
          <w:tcPr>
            <w:tcW w:w="10194" w:type="dxa"/>
            <w:gridSpan w:val="10"/>
            <w:tcBorders>
              <w:top w:val="single" w:color="000000" w:sz="8" w:space="0"/>
              <w:left w:val="single" w:color="000000" w:sz="8" w:space="0"/>
              <w:bottom w:val="single" w:color="000000" w:sz="8"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黑体" w:hAnsi="宋体" w:eastAsia="黑体" w:cs="黑体"/>
                <w:i w:val="0"/>
                <w:color w:val="000000"/>
                <w:sz w:val="32"/>
                <w:szCs w:val="32"/>
                <w:u w:val="none"/>
              </w:rPr>
            </w:pPr>
            <w:r>
              <w:rPr>
                <w:rFonts w:hint="eastAsia" w:ascii="黑体" w:hAnsi="宋体" w:eastAsia="黑体" w:cs="黑体"/>
                <w:i w:val="0"/>
                <w:color w:val="000000"/>
                <w:kern w:val="0"/>
                <w:sz w:val="32"/>
                <w:szCs w:val="32"/>
                <w:u w:val="none"/>
                <w:lang w:val="en-US" w:eastAsia="zh-CN" w:bidi="ar"/>
              </w:rPr>
              <w:t>声明</w:t>
            </w:r>
          </w:p>
        </w:tc>
      </w:tr>
      <w:tr>
        <w:tblPrEx>
          <w:tblCellMar>
            <w:top w:w="0" w:type="dxa"/>
            <w:left w:w="0" w:type="dxa"/>
            <w:bottom w:w="0" w:type="dxa"/>
            <w:right w:w="0" w:type="dxa"/>
          </w:tblCellMar>
        </w:tblPrEx>
        <w:trPr>
          <w:cantSplit/>
          <w:trHeight w:val="283" w:hRule="atLeast"/>
          <w:jc w:val="center"/>
        </w:trPr>
        <w:tc>
          <w:tcPr>
            <w:tcW w:w="10194" w:type="dxa"/>
            <w:gridSpan w:val="10"/>
            <w:tcBorders>
              <w:top w:val="nil"/>
              <w:left w:val="single" w:color="000000" w:sz="8"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ascii="仿宋_GB2312" w:hAnsi="宋体" w:eastAsia="仿宋_GB2312" w:cs="仿宋_GB2312"/>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我们保证：</w:t>
            </w:r>
          </w:p>
        </w:tc>
      </w:tr>
      <w:tr>
        <w:tblPrEx>
          <w:tblCellMar>
            <w:top w:w="0" w:type="dxa"/>
            <w:left w:w="0" w:type="dxa"/>
            <w:bottom w:w="0" w:type="dxa"/>
            <w:right w:w="0" w:type="dxa"/>
          </w:tblCellMar>
        </w:tblPrEx>
        <w:trPr>
          <w:cantSplit/>
          <w:trHeight w:val="283" w:hRule="atLeast"/>
          <w:jc w:val="center"/>
        </w:trPr>
        <w:tc>
          <w:tcPr>
            <w:tcW w:w="10194" w:type="dxa"/>
            <w:gridSpan w:val="10"/>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ascii="楷体" w:hAnsi="楷体" w:eastAsia="楷体" w:cs="楷体"/>
                <w:i w:val="0"/>
                <w:color w:val="000000"/>
                <w:sz w:val="32"/>
                <w:szCs w:val="32"/>
                <w:u w:val="none"/>
              </w:rPr>
            </w:pPr>
            <w:r>
              <w:rPr>
                <w:rFonts w:hint="eastAsia" w:ascii="楷体" w:hAnsi="楷体" w:eastAsia="楷体" w:cs="楷体"/>
                <w:i w:val="0"/>
                <w:color w:val="000000"/>
                <w:kern w:val="0"/>
                <w:sz w:val="32"/>
                <w:szCs w:val="32"/>
                <w:u w:val="none"/>
                <w:lang w:val="en-US" w:eastAsia="zh-CN" w:bidi="ar"/>
              </w:rPr>
              <w:t>①本次申报遵守《中华人民共和国中医药法》《中华人民共和国药品管理法》《中华人民共和国药品管理法实施条例》和《医疗机构制剂注册管理办法（试行）》等法律法规和规章的规定；</w:t>
            </w:r>
            <w:r>
              <w:rPr>
                <w:rFonts w:hint="eastAsia" w:ascii="楷体" w:hAnsi="楷体" w:eastAsia="楷体" w:cs="楷体"/>
                <w:i w:val="0"/>
                <w:color w:val="000000"/>
                <w:kern w:val="0"/>
                <w:sz w:val="32"/>
                <w:szCs w:val="32"/>
                <w:u w:val="none"/>
                <w:lang w:val="en-US" w:eastAsia="zh-CN" w:bidi="ar"/>
              </w:rPr>
              <w:br w:type="textWrapping"/>
            </w:r>
            <w:r>
              <w:rPr>
                <w:rFonts w:hint="eastAsia" w:ascii="楷体" w:hAnsi="楷体" w:eastAsia="楷体" w:cs="楷体"/>
                <w:i w:val="0"/>
                <w:color w:val="000000"/>
                <w:kern w:val="0"/>
                <w:sz w:val="32"/>
                <w:szCs w:val="32"/>
                <w:u w:val="none"/>
                <w:lang w:val="en-US" w:eastAsia="zh-CN" w:bidi="ar"/>
              </w:rPr>
              <w:t>②申报内容及所有申报资料均真实、来源合法、未侵犯他人的权益；</w:t>
            </w:r>
            <w:r>
              <w:rPr>
                <w:rFonts w:hint="eastAsia" w:ascii="楷体" w:hAnsi="楷体" w:eastAsia="楷体" w:cs="楷体"/>
                <w:i w:val="0"/>
                <w:color w:val="000000"/>
                <w:kern w:val="0"/>
                <w:sz w:val="32"/>
                <w:szCs w:val="32"/>
                <w:u w:val="none"/>
                <w:lang w:val="en-US" w:eastAsia="zh-CN" w:bidi="ar"/>
              </w:rPr>
              <w:br w:type="textWrapping"/>
            </w:r>
            <w:r>
              <w:rPr>
                <w:rFonts w:hint="eastAsia" w:ascii="楷体" w:hAnsi="楷体" w:eastAsia="楷体" w:cs="楷体"/>
                <w:i w:val="0"/>
                <w:color w:val="000000"/>
                <w:kern w:val="0"/>
                <w:sz w:val="32"/>
                <w:szCs w:val="32"/>
                <w:u w:val="none"/>
                <w:lang w:val="en-US" w:eastAsia="zh-CN" w:bidi="ar"/>
              </w:rPr>
              <w:t>③一并提交的电子文件与打印文件内容完全一致；</w:t>
            </w:r>
            <w:r>
              <w:rPr>
                <w:rFonts w:hint="eastAsia" w:ascii="楷体" w:hAnsi="楷体" w:eastAsia="楷体" w:cs="楷体"/>
                <w:i w:val="0"/>
                <w:color w:val="000000"/>
                <w:kern w:val="0"/>
                <w:sz w:val="32"/>
                <w:szCs w:val="32"/>
                <w:u w:val="none"/>
                <w:lang w:val="en-US" w:eastAsia="zh-CN" w:bidi="ar"/>
              </w:rPr>
              <w:br w:type="textWrapping"/>
            </w:r>
            <w:r>
              <w:rPr>
                <w:rFonts w:hint="eastAsia" w:ascii="楷体" w:hAnsi="楷体" w:eastAsia="楷体" w:cs="楷体"/>
                <w:i w:val="0"/>
                <w:color w:val="000000"/>
                <w:kern w:val="0"/>
                <w:sz w:val="32"/>
                <w:szCs w:val="32"/>
                <w:u w:val="none"/>
                <w:lang w:val="en-US" w:eastAsia="zh-CN" w:bidi="ar"/>
              </w:rPr>
              <w:t>④如有不实之处，我们承担由此导致的一切法律后果。</w:t>
            </w:r>
          </w:p>
        </w:tc>
      </w:tr>
      <w:tr>
        <w:tblPrEx>
          <w:tblCellMar>
            <w:top w:w="0" w:type="dxa"/>
            <w:left w:w="0" w:type="dxa"/>
            <w:bottom w:w="0" w:type="dxa"/>
            <w:right w:w="0" w:type="dxa"/>
          </w:tblCellMar>
        </w:tblPrEx>
        <w:trPr>
          <w:cantSplit/>
          <w:trHeight w:val="283" w:hRule="atLeast"/>
          <w:jc w:val="center"/>
        </w:trPr>
        <w:tc>
          <w:tcPr>
            <w:tcW w:w="10194" w:type="dxa"/>
            <w:gridSpan w:val="10"/>
            <w:tcBorders>
              <w:top w:val="single" w:color="000000" w:sz="8" w:space="0"/>
              <w:left w:val="single" w:color="000000" w:sz="8" w:space="0"/>
              <w:bottom w:val="single" w:color="000000" w:sz="8"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楷体" w:hAnsi="楷体" w:eastAsia="楷体" w:cs="楷体"/>
                <w:b/>
                <w:bCs/>
                <w:i w:val="0"/>
                <w:color w:val="000000"/>
                <w:kern w:val="0"/>
                <w:sz w:val="24"/>
                <w:szCs w:val="24"/>
                <w:u w:val="none"/>
                <w:lang w:val="en-US" w:eastAsia="zh-CN" w:bidi="ar"/>
              </w:rPr>
              <w:t>制剂基本信息</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制剂名称</w:t>
            </w:r>
          </w:p>
        </w:tc>
        <w:tc>
          <w:tcPr>
            <w:tcW w:w="2508" w:type="dxa"/>
            <w:gridSpan w:val="2"/>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4032" w:type="dxa"/>
            <w:gridSpan w:val="4"/>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汉语拼音</w:t>
            </w:r>
          </w:p>
        </w:tc>
        <w:tc>
          <w:tcPr>
            <w:tcW w:w="1673" w:type="dxa"/>
            <w:gridSpan w:val="3"/>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规</w:t>
            </w: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格</w:t>
            </w:r>
          </w:p>
        </w:tc>
        <w:tc>
          <w:tcPr>
            <w:tcW w:w="2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40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default" w:ascii="宋体" w:hAnsi="宋体" w:eastAsia="宋体" w:cs="宋体"/>
                <w:i w:val="0"/>
                <w:color w:val="000000"/>
                <w:sz w:val="21"/>
                <w:szCs w:val="21"/>
                <w:u w:val="none"/>
                <w:lang w:val="en-US"/>
              </w:rPr>
            </w:pPr>
            <w:r>
              <w:rPr>
                <w:rFonts w:hint="eastAsia" w:ascii="宋体" w:hAnsi="宋体" w:cs="宋体"/>
                <w:i w:val="0"/>
                <w:color w:val="000000"/>
                <w:kern w:val="0"/>
                <w:sz w:val="21"/>
                <w:szCs w:val="21"/>
                <w:u w:val="none"/>
                <w:lang w:val="en-US" w:eastAsia="zh-CN" w:bidi="ar"/>
              </w:rPr>
              <w:t>制剂</w:t>
            </w:r>
            <w:r>
              <w:rPr>
                <w:rFonts w:hint="eastAsia" w:ascii="宋体" w:hAnsi="宋体" w:eastAsia="宋体" w:cs="宋体"/>
                <w:i w:val="0"/>
                <w:color w:val="000000"/>
                <w:kern w:val="0"/>
                <w:sz w:val="21"/>
                <w:szCs w:val="21"/>
                <w:u w:val="none"/>
                <w:lang w:val="en-US" w:eastAsia="zh-CN" w:bidi="ar"/>
              </w:rPr>
              <w:t>有效期</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制剂批准文号/</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备案号</w:t>
            </w:r>
          </w:p>
        </w:tc>
        <w:tc>
          <w:tcPr>
            <w:tcW w:w="2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40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文号取得时间</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剂  型</w:t>
            </w:r>
          </w:p>
        </w:tc>
        <w:tc>
          <w:tcPr>
            <w:tcW w:w="2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4032"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包装规格</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处方（请在岭南特色药材前加“*”号）</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处方提供者及其学术地位、所属中医派系等</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pStyle w:val="7"/>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处方提供者姓名：</w:t>
            </w:r>
          </w:p>
          <w:p>
            <w:pPr>
              <w:pStyle w:val="7"/>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kern w:val="0"/>
                <w:sz w:val="21"/>
                <w:szCs w:val="21"/>
                <w:u w:val="none"/>
                <w:lang w:val="en-US" w:eastAsia="zh-CN" w:bidi="ar"/>
              </w:rPr>
            </w:pPr>
            <w:r>
              <w:rPr>
                <w:rFonts w:hint="eastAsia" w:eastAsia="宋体"/>
                <w:color w:val="000000"/>
                <w:sz w:val="21"/>
                <w:szCs w:val="21"/>
                <w:lang w:val="en-US" w:bidi="ar"/>
              </w:rPr>
              <w:t>学术传承/学术流派：</w:t>
            </w:r>
          </w:p>
          <w:p>
            <w:pPr>
              <w:pStyle w:val="7"/>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□国医大师   □全国名中医   □省名中医 </w:t>
            </w:r>
          </w:p>
          <w:p>
            <w:pPr>
              <w:pStyle w:val="7"/>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□名中医学术继承/传承人   □其他</w:t>
            </w:r>
            <w:r>
              <w:rPr>
                <w:rFonts w:hint="eastAsia" w:eastAsia="宋体" w:cs="宋体"/>
                <w:i w:val="0"/>
                <w:color w:val="000000"/>
                <w:kern w:val="0"/>
                <w:sz w:val="21"/>
                <w:szCs w:val="21"/>
                <w:u w:val="none"/>
                <w:lang w:val="en-US" w:eastAsia="zh-CN" w:bidi="ar"/>
              </w:rPr>
              <w:t>（备注：处方提供者无法追溯的，亦纳入此）</w:t>
            </w:r>
            <w:r>
              <w:rPr>
                <w:rFonts w:hint="eastAsia" w:ascii="宋体" w:hAnsi="宋体" w:eastAsia="宋体" w:cs="宋体"/>
                <w:i w:val="0"/>
                <w:color w:val="000000"/>
                <w:kern w:val="0"/>
                <w:sz w:val="21"/>
                <w:szCs w:val="21"/>
                <w:u w:val="none"/>
                <w:lang w:val="en-US" w:eastAsia="zh-CN" w:bidi="ar"/>
              </w:rPr>
              <w:t>：</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处方提供者所在专科情况</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□为国家临床重点专科   □为国家中医药管理局重点专科</w:t>
            </w:r>
          </w:p>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□以上均非</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配制工艺</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（含辅料）</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功能主治</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用法用量</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制剂在本医疗机构使用历史年限</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 xml:space="preserve">□20年以上    □16-20年    □10-15年    □5-9年 </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制剂获批后连续3年累计使用量（最小</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销售包装）</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具体使用量：</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□大于5万     □3-5万     □2-3万</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□1-2万       □1万以下</w:t>
            </w:r>
          </w:p>
        </w:tc>
      </w:tr>
      <w:tr>
        <w:tblPrEx>
          <w:tblCellMar>
            <w:top w:w="0" w:type="dxa"/>
            <w:left w:w="0" w:type="dxa"/>
            <w:bottom w:w="0" w:type="dxa"/>
            <w:right w:w="0" w:type="dxa"/>
          </w:tblCellMar>
        </w:tblPrEx>
        <w:trPr>
          <w:cantSplit/>
          <w:trHeight w:val="203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制剂使用单位</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bidi="ar"/>
              </w:rPr>
            </w:pPr>
            <w:r>
              <w:rPr>
                <w:rFonts w:hint="eastAsia" w:ascii="宋体" w:hAnsi="宋体" w:eastAsia="宋体" w:cs="宋体"/>
                <w:i w:val="0"/>
                <w:color w:val="000000"/>
                <w:kern w:val="0"/>
                <w:sz w:val="21"/>
                <w:szCs w:val="21"/>
                <w:u w:val="none"/>
                <w:lang w:val="en-US" w:eastAsia="zh-CN" w:bidi="ar"/>
              </w:rPr>
              <w:t>情况</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color w:val="000000"/>
                <w:kern w:val="0"/>
                <w:sz w:val="21"/>
                <w:szCs w:val="21"/>
                <w:u w:val="none"/>
                <w:lang w:val="en-US" w:eastAsia="zh-CN" w:bidi="ar"/>
              </w:rPr>
            </w:pPr>
            <w:r>
              <w:rPr>
                <w:rFonts w:hint="eastAsia" w:ascii="宋体" w:hAnsi="宋体" w:eastAsia="宋体" w:cs="宋体"/>
                <w:color w:val="000000"/>
                <w:kern w:val="0"/>
                <w:sz w:val="21"/>
                <w:szCs w:val="21"/>
                <w:u w:val="none"/>
                <w:lang w:val="en-US" w:eastAsia="zh-CN" w:bidi="ar"/>
              </w:rPr>
              <w:t xml:space="preserve">□本医疗机构        □本医疗机构各院区或门诊部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color w:val="000000"/>
                <w:kern w:val="0"/>
                <w:sz w:val="21"/>
                <w:szCs w:val="21"/>
                <w:u w:val="none"/>
                <w:lang w:val="en-US" w:eastAsia="zh-CN" w:bidi="ar"/>
              </w:rPr>
            </w:pPr>
            <w:r>
              <w:rPr>
                <w:rFonts w:hint="eastAsia" w:ascii="宋体" w:hAnsi="宋体" w:eastAsia="宋体" w:cs="宋体"/>
                <w:color w:val="000000"/>
                <w:kern w:val="0"/>
                <w:sz w:val="21"/>
                <w:szCs w:val="21"/>
                <w:u w:val="none"/>
                <w:lang w:val="en-US" w:eastAsia="zh-CN" w:bidi="ar"/>
              </w:rPr>
              <w:t xml:space="preserve">□本医疗机构医联体  □调剂至其他医疗机构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b w:val="0"/>
                <w:bCs w:val="0"/>
                <w:i w:val="0"/>
                <w:iCs w:val="0"/>
                <w:color w:val="000000"/>
                <w:kern w:val="0"/>
                <w:sz w:val="21"/>
                <w:szCs w:val="21"/>
                <w:u w:val="none"/>
                <w:lang w:val="en-US" w:eastAsia="zh-CN" w:bidi="ar"/>
              </w:rPr>
              <w:t>跨医联体或跨省使用</w:t>
            </w:r>
          </w:p>
          <w:p>
            <w:pPr>
              <w:widowControl/>
              <w:autoSpaceDE/>
              <w:autoSpaceDN/>
              <w:spacing w:line="400" w:lineRule="exact"/>
              <w:jc w:val="both"/>
              <w:textAlignment w:val="center"/>
              <w:outlineLvl w:val="9"/>
              <w:rPr>
                <w:rFonts w:hint="eastAsia" w:ascii="宋体" w:hAnsi="宋体" w:eastAsia="宋体" w:cs="宋体"/>
                <w:color w:val="000000"/>
                <w:kern w:val="0"/>
                <w:sz w:val="21"/>
                <w:szCs w:val="21"/>
                <w:u w:val="none"/>
                <w:lang w:bidi="ar"/>
              </w:rPr>
            </w:pPr>
            <w:r>
              <w:rPr>
                <w:rFonts w:hint="eastAsia" w:ascii="宋体" w:hAnsi="宋体" w:eastAsia="宋体" w:cs="宋体"/>
                <w:color w:val="000000"/>
                <w:kern w:val="0"/>
                <w:sz w:val="21"/>
                <w:szCs w:val="21"/>
                <w:u w:val="none"/>
                <w:lang w:val="en-US" w:eastAsia="zh-CN" w:bidi="ar"/>
              </w:rPr>
              <w:t>以上合计：□3个以上     □3个       □3个以下</w:t>
            </w:r>
          </w:p>
        </w:tc>
      </w:tr>
      <w:tr>
        <w:tblPrEx>
          <w:tblCellMar>
            <w:top w:w="0" w:type="dxa"/>
            <w:left w:w="0" w:type="dxa"/>
            <w:bottom w:w="0" w:type="dxa"/>
            <w:right w:w="0" w:type="dxa"/>
          </w:tblCellMar>
        </w:tblPrEx>
        <w:trPr>
          <w:cantSplit/>
          <w:trHeight w:val="283" w:hRule="atLeast"/>
          <w:jc w:val="center"/>
        </w:trPr>
        <w:tc>
          <w:tcPr>
            <w:tcW w:w="198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处方中药味是否存在以下情形</w:t>
            </w:r>
          </w:p>
        </w:tc>
        <w:tc>
          <w:tcPr>
            <w:tcW w:w="432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口服制剂处方中，含有监管部门明令禁止使用的现代毒理学证明有明确肝肾等脏器毒性的药味。</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w:t>
            </w:r>
          </w:p>
        </w:tc>
        <w:tc>
          <w:tcPr>
            <w:tcW w:w="7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□否</w:t>
            </w:r>
          </w:p>
        </w:tc>
        <w:tc>
          <w:tcPr>
            <w:tcW w:w="134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备注：此为否决项，</w:t>
            </w:r>
            <w:r>
              <w:rPr>
                <w:rFonts w:hint="eastAsia" w:ascii="宋体" w:hAnsi="宋体" w:eastAsia="宋体" w:cs="宋体"/>
                <w:b w:val="0"/>
                <w:bCs w:val="0"/>
                <w:color w:val="000000"/>
                <w:kern w:val="0"/>
                <w:sz w:val="21"/>
                <w:szCs w:val="21"/>
                <w:lang w:val="en-US" w:bidi="zh-CN"/>
              </w:rPr>
              <w:t>制剂品种如符合左侧任一项，不得参与申报</w:t>
            </w:r>
          </w:p>
        </w:tc>
      </w:tr>
      <w:tr>
        <w:tblPrEx>
          <w:tblCellMar>
            <w:top w:w="0" w:type="dxa"/>
            <w:left w:w="0" w:type="dxa"/>
            <w:bottom w:w="0" w:type="dxa"/>
            <w:right w:w="0" w:type="dxa"/>
          </w:tblCellMar>
        </w:tblPrEx>
        <w:trPr>
          <w:cantSplit/>
          <w:trHeight w:val="283" w:hRule="atLeast"/>
          <w:jc w:val="center"/>
        </w:trPr>
        <w:tc>
          <w:tcPr>
            <w:tcW w:w="1981" w:type="dxa"/>
            <w:vMerge w:val="continue"/>
            <w:tcBorders>
              <w:left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432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b w:val="0"/>
                <w:bCs w:val="0"/>
                <w:color w:val="000000"/>
                <w:kern w:val="0"/>
                <w:sz w:val="21"/>
                <w:szCs w:val="21"/>
                <w:lang w:val="en-US" w:bidi="zh-CN"/>
              </w:rPr>
              <w:t>使用</w:t>
            </w:r>
            <w:r>
              <w:rPr>
                <w:rFonts w:hint="eastAsia" w:ascii="宋体" w:hAnsi="宋体" w:eastAsia="宋体" w:cs="宋体"/>
                <w:b w:val="0"/>
                <w:bCs w:val="0"/>
                <w:color w:val="000000"/>
                <w:kern w:val="0"/>
                <w:sz w:val="21"/>
                <w:szCs w:val="21"/>
                <w:lang w:val="zh-CN" w:bidi="zh-CN"/>
              </w:rPr>
              <w:t>有毒性及现代毒理学证明有毒性的药味，无明确的中医理论或流派治法支持。</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□是</w:t>
            </w:r>
          </w:p>
        </w:tc>
        <w:tc>
          <w:tcPr>
            <w:tcW w:w="7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349" w:type="dxa"/>
            <w:gridSpan w:val="2"/>
            <w:vMerge w:val="continue"/>
            <w:tcBorders>
              <w:left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cantSplit/>
          <w:trHeight w:val="283" w:hRule="atLeast"/>
          <w:jc w:val="center"/>
        </w:trPr>
        <w:tc>
          <w:tcPr>
            <w:tcW w:w="1981" w:type="dxa"/>
            <w:vMerge w:val="continue"/>
            <w:tcBorders>
              <w:left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p>
        </w:tc>
        <w:tc>
          <w:tcPr>
            <w:tcW w:w="432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pStyle w:val="6"/>
              <w:keepNext w:val="0"/>
              <w:keepLines w:val="0"/>
              <w:pageBreakBefore w:val="0"/>
              <w:widowControl/>
              <w:suppressLineNumbers w:val="0"/>
              <w:kinsoku/>
              <w:wordWrap/>
              <w:overflowPunct/>
              <w:topLinePunct w:val="0"/>
              <w:autoSpaceDE/>
              <w:autoSpaceDN/>
              <w:bidi w:val="0"/>
              <w:adjustRightInd/>
              <w:snapToGrid/>
              <w:spacing w:line="400" w:lineRule="exact"/>
              <w:ind w:firstLine="0" w:firstLineChars="0"/>
              <w:jc w:val="left"/>
              <w:textAlignment w:val="center"/>
              <w:outlineLvl w:val="2"/>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b w:val="0"/>
                <w:bCs w:val="0"/>
                <w:color w:val="000000"/>
                <w:kern w:val="0"/>
                <w:sz w:val="21"/>
                <w:szCs w:val="21"/>
                <w:lang w:val="zh-CN" w:bidi="zh-CN"/>
              </w:rPr>
              <w:t>含有十八反、十九畏等配伍禁忌的，申报单位无法提供安全性方面的证明资料。</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□是</w:t>
            </w:r>
          </w:p>
        </w:tc>
        <w:tc>
          <w:tcPr>
            <w:tcW w:w="7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□否</w:t>
            </w:r>
          </w:p>
        </w:tc>
        <w:tc>
          <w:tcPr>
            <w:tcW w:w="1349" w:type="dxa"/>
            <w:gridSpan w:val="2"/>
            <w:vMerge w:val="continue"/>
            <w:tcBorders>
              <w:left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kern w:val="0"/>
                <w:sz w:val="21"/>
                <w:szCs w:val="21"/>
                <w:u w:val="none"/>
                <w:lang w:val="en-US" w:eastAsia="zh-CN" w:bidi="ar"/>
              </w:rPr>
            </w:pP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4328"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b w:val="0"/>
                <w:bCs w:val="0"/>
                <w:color w:val="000000"/>
                <w:sz w:val="21"/>
                <w:szCs w:val="21"/>
                <w:lang w:val="zh-CN"/>
              </w:rPr>
              <w:t>制剂近3年出现质量安全问题；日常监管发现严重缺陷；出现抽检不合格；发生因质量引起的严重或有聚集性信号的药品不良事件。</w:t>
            </w:r>
          </w:p>
        </w:tc>
        <w:tc>
          <w:tcPr>
            <w:tcW w:w="17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w:t>
            </w:r>
          </w:p>
        </w:tc>
        <w:tc>
          <w:tcPr>
            <w:tcW w:w="7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□否</w:t>
            </w:r>
          </w:p>
        </w:tc>
        <w:tc>
          <w:tcPr>
            <w:tcW w:w="134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是否开展不良反应</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监测</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□是   □规范开展   □开展但不规范</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  新的不良反应的比例为：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□发生过严重不良反应 □未发生过严重不良反应</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□否</w:t>
            </w:r>
          </w:p>
        </w:tc>
      </w:tr>
      <w:tr>
        <w:tblPrEx>
          <w:tblCellMar>
            <w:top w:w="0" w:type="dxa"/>
            <w:left w:w="0" w:type="dxa"/>
            <w:bottom w:w="0" w:type="dxa"/>
            <w:right w:w="0" w:type="dxa"/>
          </w:tblCellMar>
        </w:tblPrEx>
        <w:trPr>
          <w:cantSplit/>
          <w:trHeight w:val="283" w:hRule="atLeast"/>
          <w:jc w:val="center"/>
        </w:trPr>
        <w:tc>
          <w:tcPr>
            <w:tcW w:w="198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人用经验研究</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color w:val="000000"/>
                <w:sz w:val="21"/>
                <w:szCs w:val="21"/>
                <w:lang w:eastAsia="zh-CN"/>
              </w:rPr>
            </w:pPr>
            <w:r>
              <w:rPr>
                <w:rFonts w:hint="eastAsia" w:ascii="宋体" w:hAnsi="宋体" w:eastAsia="宋体" w:cs="宋体"/>
                <w:i w:val="0"/>
                <w:color w:val="000000"/>
                <w:kern w:val="0"/>
                <w:sz w:val="21"/>
                <w:szCs w:val="21"/>
                <w:u w:val="none"/>
                <w:lang w:val="en-US" w:eastAsia="zh-CN" w:bidi="ar"/>
              </w:rPr>
              <w:t>□有  □</w:t>
            </w:r>
            <w:r>
              <w:rPr>
                <w:rFonts w:hint="eastAsia" w:ascii="宋体" w:hAnsi="宋体" w:eastAsia="宋体" w:cs="宋体"/>
                <w:b w:val="0"/>
                <w:bCs w:val="0"/>
                <w:color w:val="000000"/>
                <w:sz w:val="21"/>
                <w:szCs w:val="21"/>
              </w:rPr>
              <w:t>明确制剂临床定位、适用人群、用药剂量、疗效特点和临床获益，形成研究报告</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630" w:firstLineChars="300"/>
              <w:jc w:val="both"/>
              <w:textAlignment w:val="center"/>
              <w:outlineLvl w:val="9"/>
              <w:rPr>
                <w:rFonts w:hint="eastAsia" w:ascii="宋体" w:hAnsi="宋体" w:eastAsia="宋体" w:cs="宋体"/>
                <w:color w:val="000000"/>
                <w:sz w:val="21"/>
                <w:szCs w:val="21"/>
                <w:lang w:val="en-US" w:eastAsia="zh-CN"/>
              </w:rPr>
            </w:pP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b w:val="0"/>
                <w:bCs w:val="0"/>
                <w:color w:val="000000"/>
                <w:sz w:val="21"/>
                <w:szCs w:val="21"/>
              </w:rPr>
              <w:t>明确制剂临床定位、适用人群、用药剂量，且能提供不少于100例的临床有效性和安全性数据</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color w:val="000000"/>
                <w:sz w:val="21"/>
                <w:szCs w:val="21"/>
                <w:lang w:val="en-US" w:eastAsia="zh-CN"/>
              </w:rPr>
              <w:t xml:space="preserve">      </w:t>
            </w: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b w:val="0"/>
                <w:bCs w:val="0"/>
                <w:color w:val="000000"/>
                <w:sz w:val="21"/>
                <w:szCs w:val="21"/>
              </w:rPr>
              <w:t>提供不少于50例制剂有效性和安全性数据</w:t>
            </w:r>
          </w:p>
          <w:p>
            <w:pPr>
              <w:widowControl/>
              <w:spacing w:line="400" w:lineRule="exact"/>
              <w:ind w:firstLine="630" w:firstLineChars="30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b w:val="0"/>
                <w:bCs w:val="0"/>
                <w:color w:val="000000"/>
                <w:sz w:val="21"/>
                <w:szCs w:val="21"/>
              </w:rPr>
              <w:t>提供5-10例典型病例的</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安全性和有效性研究</w:t>
            </w:r>
          </w:p>
        </w:tc>
        <w:tc>
          <w:tcPr>
            <w:tcW w:w="7302"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kern w:val="0"/>
                <w:sz w:val="21"/>
                <w:szCs w:val="21"/>
                <w:u w:val="none"/>
                <w:lang w:val="en-US" w:eastAsia="zh-CN" w:bidi="ar"/>
              </w:rPr>
            </w:pPr>
            <w:r>
              <w:rPr>
                <w:rStyle w:val="8"/>
                <w:rFonts w:hint="eastAsia" w:ascii="宋体" w:hAnsi="宋体" w:eastAsia="宋体" w:cs="宋体"/>
                <w:color w:val="000000"/>
                <w:sz w:val="21"/>
                <w:szCs w:val="21"/>
                <w:lang w:val="en-US" w:eastAsia="zh-CN" w:bidi="ar"/>
              </w:rPr>
              <w:t xml:space="preserve">□有    </w:t>
            </w:r>
            <w:r>
              <w:rPr>
                <w:rFonts w:hint="eastAsia" w:ascii="宋体" w:hAnsi="宋体" w:eastAsia="宋体" w:cs="宋体"/>
                <w:i w:val="0"/>
                <w:color w:val="000000"/>
                <w:kern w:val="0"/>
                <w:sz w:val="21"/>
                <w:szCs w:val="21"/>
                <w:u w:val="none"/>
                <w:lang w:val="en-US" w:eastAsia="zh-CN" w:bidi="ar"/>
              </w:rPr>
              <w:t xml:space="preserve">□临床和非临床均开展   </w:t>
            </w:r>
          </w:p>
          <w:p>
            <w:pPr>
              <w:keepNext w:val="0"/>
              <w:keepLines w:val="0"/>
              <w:pageBreakBefore w:val="0"/>
              <w:widowControl/>
              <w:suppressLineNumbers w:val="0"/>
              <w:kinsoku/>
              <w:wordWrap/>
              <w:overflowPunct/>
              <w:topLinePunct w:val="0"/>
              <w:autoSpaceDE/>
              <w:autoSpaceDN/>
              <w:bidi w:val="0"/>
              <w:adjustRightInd/>
              <w:snapToGrid/>
              <w:spacing w:line="400" w:lineRule="exact"/>
              <w:ind w:firstLine="840" w:firstLineChars="40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□仅开展临床或非临床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Style w:val="8"/>
                <w:rFonts w:hint="eastAsia" w:ascii="宋体" w:hAnsi="宋体" w:eastAsia="宋体" w:cs="宋体"/>
                <w:color w:val="000000"/>
                <w:sz w:val="21"/>
                <w:szCs w:val="21"/>
                <w:lang w:val="en-US" w:eastAsia="zh-CN" w:bidi="ar"/>
              </w:rPr>
              <w:t>研究项目名称：</w:t>
            </w:r>
          </w:p>
        </w:tc>
        <w:tc>
          <w:tcPr>
            <w:tcW w:w="911"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入选广东省医保</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药品目录</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Style w:val="8"/>
                <w:rFonts w:hint="eastAsia" w:ascii="宋体" w:hAnsi="宋体" w:eastAsia="宋体" w:cs="宋体"/>
                <w:color w:val="000000"/>
                <w:sz w:val="21"/>
                <w:szCs w:val="21"/>
                <w:lang w:val="en-US" w:eastAsia="zh-CN" w:bidi="ar"/>
              </w:rPr>
              <w:t>□是    □否</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专利获得情况</w:t>
            </w:r>
          </w:p>
        </w:tc>
        <w:tc>
          <w:tcPr>
            <w:tcW w:w="7302" w:type="dxa"/>
            <w:gridSpan w:val="8"/>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630" w:hanging="630" w:hangingChars="300"/>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□有，（1）专利号：     专利名称：</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（2）专利号：     专利名称：</w:t>
            </w:r>
          </w:p>
        </w:tc>
        <w:tc>
          <w:tcPr>
            <w:tcW w:w="911"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科技成果奖获得情况</w:t>
            </w:r>
          </w:p>
        </w:tc>
        <w:tc>
          <w:tcPr>
            <w:tcW w:w="7302" w:type="dxa"/>
            <w:gridSpan w:val="8"/>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default"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□有，具体奖项及等级：      </w:t>
            </w:r>
          </w:p>
        </w:tc>
        <w:tc>
          <w:tcPr>
            <w:tcW w:w="911"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□无</w:t>
            </w:r>
          </w:p>
        </w:tc>
      </w:tr>
      <w:tr>
        <w:tblPrEx>
          <w:tblCellMar>
            <w:top w:w="0" w:type="dxa"/>
            <w:left w:w="0" w:type="dxa"/>
            <w:bottom w:w="0" w:type="dxa"/>
            <w:right w:w="0" w:type="dxa"/>
          </w:tblCellMar>
        </w:tblPrEx>
        <w:trPr>
          <w:cantSplit/>
          <w:trHeight w:val="283" w:hRule="atLeast"/>
          <w:jc w:val="center"/>
        </w:trPr>
        <w:tc>
          <w:tcPr>
            <w:tcW w:w="10194" w:type="dxa"/>
            <w:gridSpan w:val="10"/>
            <w:tcBorders>
              <w:top w:val="single" w:color="000000" w:sz="8" w:space="0"/>
              <w:left w:val="single" w:color="000000" w:sz="8" w:space="0"/>
              <w:bottom w:val="single" w:color="000000" w:sz="8"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楷体" w:hAnsi="楷体" w:eastAsia="楷体" w:cs="楷体"/>
                <w:b/>
                <w:bCs/>
                <w:i w:val="0"/>
                <w:color w:val="000000"/>
                <w:kern w:val="0"/>
                <w:sz w:val="24"/>
                <w:szCs w:val="24"/>
                <w:u w:val="none"/>
                <w:lang w:val="en-US" w:eastAsia="zh-CN" w:bidi="ar"/>
              </w:rPr>
              <w:t>申报单位信息</w:t>
            </w:r>
          </w:p>
        </w:tc>
      </w:tr>
      <w:tr>
        <w:tblPrEx>
          <w:tblCellMar>
            <w:top w:w="0" w:type="dxa"/>
            <w:left w:w="0" w:type="dxa"/>
            <w:bottom w:w="0" w:type="dxa"/>
            <w:right w:w="0" w:type="dxa"/>
          </w:tblCellMar>
        </w:tblPrEx>
        <w:trPr>
          <w:cantSplit/>
          <w:trHeight w:val="283" w:hRule="atLeast"/>
          <w:jc w:val="center"/>
        </w:trPr>
        <w:tc>
          <w:tcPr>
            <w:tcW w:w="1981" w:type="dxa"/>
            <w:tcBorders>
              <w:top w:val="nil"/>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单位名称</w:t>
            </w:r>
          </w:p>
        </w:tc>
        <w:tc>
          <w:tcPr>
            <w:tcW w:w="8213" w:type="dxa"/>
            <w:gridSpan w:val="9"/>
            <w:tcBorders>
              <w:top w:val="nil"/>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《医疗机构执业</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许可证》</w:t>
            </w:r>
          </w:p>
        </w:tc>
        <w:tc>
          <w:tcPr>
            <w:tcW w:w="13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登记号</w:t>
            </w:r>
          </w:p>
        </w:tc>
        <w:tc>
          <w:tcPr>
            <w:tcW w:w="29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22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有效期限</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319" w:leftChars="152" w:firstLine="0" w:firstLineChars="0"/>
              <w:jc w:val="both"/>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  月 日至</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r>
      <w:tr>
        <w:tblPrEx>
          <w:tblCellMar>
            <w:top w:w="0" w:type="dxa"/>
            <w:left w:w="0" w:type="dxa"/>
            <w:bottom w:w="0" w:type="dxa"/>
            <w:right w:w="0" w:type="dxa"/>
          </w:tblCellMar>
        </w:tblPrEx>
        <w:trPr>
          <w:cantSplit/>
          <w:trHeight w:val="283" w:hRule="atLeast"/>
          <w:jc w:val="center"/>
        </w:trPr>
        <w:tc>
          <w:tcPr>
            <w:tcW w:w="198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《医疗机构制剂</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许可证》</w:t>
            </w:r>
          </w:p>
        </w:tc>
        <w:tc>
          <w:tcPr>
            <w:tcW w:w="13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w:t>
            </w:r>
          </w:p>
        </w:tc>
        <w:tc>
          <w:tcPr>
            <w:tcW w:w="2982"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配制范围是否</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包括该申报制剂剂型</w:t>
            </w:r>
          </w:p>
        </w:tc>
        <w:tc>
          <w:tcPr>
            <w:tcW w:w="22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编号：</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32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有效期限：</w:t>
            </w:r>
          </w:p>
          <w:p>
            <w:pPr>
              <w:keepNext w:val="0"/>
              <w:keepLines w:val="0"/>
              <w:pageBreakBefore w:val="0"/>
              <w:widowControl/>
              <w:suppressLineNumbers w:val="0"/>
              <w:kinsoku/>
              <w:wordWrap/>
              <w:overflowPunct/>
              <w:topLinePunct w:val="0"/>
              <w:autoSpaceDE/>
              <w:autoSpaceDN/>
              <w:bidi w:val="0"/>
              <w:adjustRightInd/>
              <w:snapToGrid/>
              <w:spacing w:line="400" w:lineRule="exact"/>
              <w:ind w:left="319" w:leftChars="152" w:firstLine="0" w:firstLineChars="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年  月 日至</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13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2982"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388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　</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c>
          <w:tcPr>
            <w:tcW w:w="13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配制地址</w:t>
            </w:r>
          </w:p>
        </w:tc>
        <w:tc>
          <w:tcPr>
            <w:tcW w:w="6867"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是否委托配制</w:t>
            </w:r>
          </w:p>
        </w:tc>
        <w:tc>
          <w:tcPr>
            <w:tcW w:w="8213" w:type="dxa"/>
            <w:gridSpan w:val="9"/>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□否</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3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w:t>
            </w:r>
          </w:p>
        </w:tc>
        <w:tc>
          <w:tcPr>
            <w:tcW w:w="29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制剂配制单位名称</w:t>
            </w:r>
          </w:p>
        </w:tc>
        <w:tc>
          <w:tcPr>
            <w:tcW w:w="388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3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outlineLvl w:val="9"/>
              <w:rPr>
                <w:rFonts w:hint="eastAsia" w:ascii="宋体" w:hAnsi="宋体" w:eastAsia="宋体" w:cs="宋体"/>
                <w:i w:val="0"/>
                <w:color w:val="000000"/>
                <w:sz w:val="21"/>
                <w:szCs w:val="21"/>
                <w:u w:val="none"/>
              </w:rPr>
            </w:pPr>
          </w:p>
        </w:tc>
        <w:tc>
          <w:tcPr>
            <w:tcW w:w="29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《医疗机构制剂许可证》</w:t>
            </w:r>
          </w:p>
        </w:tc>
        <w:tc>
          <w:tcPr>
            <w:tcW w:w="22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□是</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编号：</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有效期限：</w:t>
            </w:r>
          </w:p>
          <w:p>
            <w:pPr>
              <w:keepNext w:val="0"/>
              <w:keepLines w:val="0"/>
              <w:pageBreakBefore w:val="0"/>
              <w:widowControl/>
              <w:suppressLineNumbers w:val="0"/>
              <w:kinsoku/>
              <w:wordWrap/>
              <w:overflowPunct/>
              <w:topLinePunct w:val="0"/>
              <w:autoSpaceDE/>
              <w:autoSpaceDN/>
              <w:bidi w:val="0"/>
              <w:adjustRightInd/>
              <w:snapToGrid/>
              <w:spacing w:line="400" w:lineRule="exact"/>
              <w:ind w:left="32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年 月  日至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3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outlineLvl w:val="9"/>
              <w:rPr>
                <w:rFonts w:hint="eastAsia" w:ascii="宋体" w:hAnsi="宋体" w:eastAsia="宋体" w:cs="宋体"/>
                <w:i w:val="0"/>
                <w:color w:val="000000"/>
                <w:sz w:val="21"/>
                <w:szCs w:val="21"/>
                <w:u w:val="none"/>
              </w:rPr>
            </w:pPr>
          </w:p>
        </w:tc>
        <w:tc>
          <w:tcPr>
            <w:tcW w:w="29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《药品生产许可证》</w:t>
            </w:r>
          </w:p>
        </w:tc>
        <w:tc>
          <w:tcPr>
            <w:tcW w:w="22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□是  </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编号：</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有效期限：</w:t>
            </w:r>
          </w:p>
          <w:p>
            <w:pPr>
              <w:keepNext w:val="0"/>
              <w:keepLines w:val="0"/>
              <w:pageBreakBefore w:val="0"/>
              <w:widowControl/>
              <w:suppressLineNumbers w:val="0"/>
              <w:kinsoku/>
              <w:wordWrap/>
              <w:overflowPunct/>
              <w:topLinePunct w:val="0"/>
              <w:autoSpaceDE/>
              <w:autoSpaceDN/>
              <w:bidi w:val="0"/>
              <w:adjustRightInd/>
              <w:snapToGrid/>
              <w:spacing w:line="400" w:lineRule="exact"/>
              <w:ind w:left="32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年 月  日至 </w:t>
            </w:r>
          </w:p>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r>
      <w:tr>
        <w:tblPrEx>
          <w:tblCellMar>
            <w:top w:w="0" w:type="dxa"/>
            <w:left w:w="0" w:type="dxa"/>
            <w:bottom w:w="0" w:type="dxa"/>
            <w:right w:w="0" w:type="dxa"/>
          </w:tblCellMar>
        </w:tblPrEx>
        <w:trPr>
          <w:cantSplit/>
          <w:trHeight w:val="283" w:hRule="atLeast"/>
          <w:jc w:val="center"/>
        </w:trPr>
        <w:tc>
          <w:tcPr>
            <w:tcW w:w="198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3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outlineLvl w:val="9"/>
              <w:rPr>
                <w:rFonts w:hint="eastAsia" w:ascii="宋体" w:hAnsi="宋体" w:eastAsia="宋体" w:cs="宋体"/>
                <w:i w:val="0"/>
                <w:color w:val="000000"/>
                <w:sz w:val="21"/>
                <w:szCs w:val="21"/>
                <w:u w:val="none"/>
              </w:rPr>
            </w:pPr>
          </w:p>
        </w:tc>
        <w:tc>
          <w:tcPr>
            <w:tcW w:w="2982" w:type="dxa"/>
            <w:gridSpan w:val="3"/>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委托配制地址</w:t>
            </w:r>
          </w:p>
        </w:tc>
        <w:tc>
          <w:tcPr>
            <w:tcW w:w="3885" w:type="dxa"/>
            <w:gridSpan w:val="5"/>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申报负责人</w:t>
            </w:r>
          </w:p>
        </w:tc>
        <w:tc>
          <w:tcPr>
            <w:tcW w:w="134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406" w:type="dxa"/>
            <w:gridSpan w:val="2"/>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职位</w:t>
            </w:r>
          </w:p>
        </w:tc>
        <w:tc>
          <w:tcPr>
            <w:tcW w:w="1576" w:type="dxa"/>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2212" w:type="dxa"/>
            <w:gridSpan w:val="2"/>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联系电话</w:t>
            </w:r>
          </w:p>
        </w:tc>
        <w:tc>
          <w:tcPr>
            <w:tcW w:w="1673" w:type="dxa"/>
            <w:gridSpan w:val="3"/>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联系地址</w:t>
            </w:r>
          </w:p>
        </w:tc>
        <w:tc>
          <w:tcPr>
            <w:tcW w:w="13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140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邮政编码</w:t>
            </w:r>
          </w:p>
        </w:tc>
        <w:tc>
          <w:tcPr>
            <w:tcW w:w="15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c>
          <w:tcPr>
            <w:tcW w:w="22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电子邮箱</w:t>
            </w:r>
          </w:p>
        </w:tc>
        <w:tc>
          <w:tcPr>
            <w:tcW w:w="16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center"/>
              <w:outlineLvl w:val="9"/>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1330" w:hRule="atLeast"/>
          <w:jc w:val="center"/>
        </w:trPr>
        <w:tc>
          <w:tcPr>
            <w:tcW w:w="1981"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申报负责人签名：</w:t>
            </w:r>
          </w:p>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40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40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400" w:lineRule="exact"/>
              <w:jc w:val="righ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c>
          <w:tcPr>
            <w:tcW w:w="4328" w:type="dxa"/>
            <w:gridSpan w:val="4"/>
            <w:tcBorders>
              <w:top w:val="single" w:color="000000" w:sz="4" w:space="0"/>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jc w:val="left"/>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法定代表人签名：</w:t>
            </w:r>
          </w:p>
          <w:p>
            <w:pPr>
              <w:keepNext w:val="0"/>
              <w:keepLines w:val="0"/>
              <w:pageBreakBefore w:val="0"/>
              <w:widowControl/>
              <w:kinsoku/>
              <w:wordWrap/>
              <w:overflowPunct/>
              <w:topLinePunct w:val="0"/>
              <w:autoSpaceDE/>
              <w:autoSpaceDN/>
              <w:bidi w:val="0"/>
              <w:adjustRightInd/>
              <w:snapToGrid/>
              <w:spacing w:line="400" w:lineRule="exact"/>
              <w:jc w:val="both"/>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40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40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00" w:lineRule="exact"/>
              <w:ind w:firstLine="1890" w:firstLineChars="900"/>
              <w:jc w:val="right"/>
              <w:textAlignment w:val="top"/>
              <w:outlineLvl w:val="9"/>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 xml:space="preserve"> 年    月    日</w:t>
            </w:r>
          </w:p>
        </w:tc>
        <w:tc>
          <w:tcPr>
            <w:tcW w:w="3885" w:type="dxa"/>
            <w:gridSpan w:val="5"/>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top"/>
          </w:tcPr>
          <w:p>
            <w:pPr>
              <w:pStyle w:val="7"/>
              <w:jc w:val="both"/>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lang w:val="en-US" w:eastAsia="zh-CN"/>
              </w:rPr>
            </w:pPr>
            <w:r>
              <w:rPr>
                <w:rFonts w:hint="eastAsia"/>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top"/>
              <w:outlineLvl w:val="9"/>
              <w:rPr>
                <w:rFonts w:hint="eastAsia"/>
                <w:lang w:val="en-US" w:eastAsia="zh-CN"/>
              </w:rPr>
            </w:pPr>
            <w:r>
              <w:rPr>
                <w:rFonts w:hint="eastAsia"/>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outlineLvl w:val="9"/>
              <w:rPr>
                <w:rFonts w:hint="eastAsia"/>
                <w:lang w:val="en-US" w:eastAsia="zh-CN"/>
              </w:rPr>
            </w:pPr>
            <w:r>
              <w:rPr>
                <w:rFonts w:hint="eastAsia"/>
                <w:lang w:val="en-US" w:eastAsia="zh-CN"/>
              </w:rPr>
              <w:t xml:space="preserve">  （加盖公章处）</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top"/>
              <w:outlineLvl w:val="9"/>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i w:val="0"/>
                <w:color w:val="000000"/>
                <w:kern w:val="0"/>
                <w:sz w:val="21"/>
                <w:szCs w:val="21"/>
                <w:u w:val="none"/>
                <w:lang w:val="en-US" w:eastAsia="zh-CN" w:bidi="ar"/>
              </w:rPr>
              <w:t>年    月    日</w:t>
            </w:r>
          </w:p>
        </w:tc>
      </w:tr>
    </w:tbl>
    <w:p>
      <w:pPr>
        <w:pStyle w:val="7"/>
        <w:rPr>
          <w:rFonts w:hint="eastAsia"/>
          <w:color w:val="000000"/>
          <w:lang w:eastAsia="zh-CN"/>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720" w:num="1"/>
          <w:rtlGutter w:val="0"/>
          <w:docGrid w:type="lines" w:linePitch="436" w:charSpace="0"/>
        </w:sectPr>
      </w:pPr>
    </w:p>
    <w:p>
      <w:pPr>
        <w:pStyle w:val="7"/>
        <w:rPr>
          <w:rFonts w:hint="eastAsia" w:ascii="黑体" w:hAnsi="宋体" w:eastAsia="黑体" w:cs="黑体"/>
          <w:i w:val="0"/>
          <w:color w:val="000000"/>
          <w:kern w:val="0"/>
          <w:sz w:val="32"/>
          <w:szCs w:val="32"/>
          <w:u w:val="none"/>
          <w:lang w:val="en-US" w:eastAsia="zh-CN" w:bidi="ar"/>
        </w:rPr>
      </w:pPr>
      <w:r>
        <w:rPr>
          <w:rFonts w:hint="eastAsia" w:ascii="黑体" w:hAnsi="宋体" w:eastAsia="黑体" w:cs="黑体"/>
          <w:i w:val="0"/>
          <w:color w:val="000000"/>
          <w:kern w:val="0"/>
          <w:sz w:val="32"/>
          <w:szCs w:val="32"/>
          <w:u w:val="none"/>
          <w:lang w:val="en-US" w:eastAsia="zh-CN" w:bidi="ar"/>
        </w:rPr>
        <w:t>附</w:t>
      </w:r>
      <w:r>
        <w:rPr>
          <w:rFonts w:hint="eastAsia" w:ascii="黑体" w:eastAsia="黑体" w:cs="黑体"/>
          <w:i w:val="0"/>
          <w:color w:val="000000"/>
          <w:kern w:val="0"/>
          <w:sz w:val="32"/>
          <w:szCs w:val="32"/>
          <w:u w:val="none"/>
          <w:lang w:val="en-US" w:eastAsia="zh-CN" w:bidi="ar"/>
        </w:rPr>
        <w:t>表</w:t>
      </w:r>
      <w:r>
        <w:rPr>
          <w:rFonts w:hint="eastAsia" w:ascii="黑体" w:hAnsi="宋体" w:eastAsia="黑体" w:cs="黑体"/>
          <w:i w:val="0"/>
          <w:color w:val="000000"/>
          <w:kern w:val="0"/>
          <w:sz w:val="32"/>
          <w:szCs w:val="32"/>
          <w:u w:val="none"/>
          <w:lang w:val="en-US" w:eastAsia="zh-CN" w:bidi="ar"/>
        </w:rPr>
        <w:t>2</w:t>
      </w:r>
    </w:p>
    <w:p>
      <w:pPr>
        <w:pStyle w:val="7"/>
        <w:jc w:val="center"/>
        <w:rPr>
          <w:rFonts w:hint="eastAsia" w:ascii="方正小标宋简体" w:hAnsi="方正小标宋简体" w:eastAsia="方正小标宋简体" w:cs="方正小标宋简体"/>
          <w:i w:val="0"/>
          <w:color w:val="000000"/>
          <w:kern w:val="0"/>
          <w:sz w:val="44"/>
          <w:szCs w:val="44"/>
          <w:u w:val="none"/>
          <w:lang w:val="en-US" w:eastAsia="zh-CN" w:bidi="ar"/>
        </w:rPr>
      </w:pPr>
      <w:r>
        <w:rPr>
          <w:rFonts w:hint="eastAsia" w:ascii="方正小标宋简体" w:hAnsi="方正小标宋简体" w:eastAsia="方正小标宋简体" w:cs="方正小标宋简体"/>
          <w:i w:val="0"/>
          <w:color w:val="000000"/>
          <w:kern w:val="0"/>
          <w:sz w:val="44"/>
          <w:szCs w:val="44"/>
          <w:u w:val="none"/>
          <w:lang w:val="en-US" w:eastAsia="zh-CN" w:bidi="ar"/>
        </w:rPr>
        <w:t>广东省医疗机构制剂“岭南名方”遴选申报表2</w:t>
      </w:r>
    </w:p>
    <w:tbl>
      <w:tblPr>
        <w:tblStyle w:val="4"/>
        <w:tblW w:w="14516" w:type="dxa"/>
        <w:jc w:val="center"/>
        <w:tblLayout w:type="fixed"/>
        <w:tblCellMar>
          <w:top w:w="0" w:type="dxa"/>
          <w:left w:w="0" w:type="dxa"/>
          <w:bottom w:w="0" w:type="dxa"/>
          <w:right w:w="0" w:type="dxa"/>
        </w:tblCellMar>
      </w:tblPr>
      <w:tblGrid>
        <w:gridCol w:w="2190"/>
        <w:gridCol w:w="2648"/>
        <w:gridCol w:w="954"/>
        <w:gridCol w:w="972"/>
        <w:gridCol w:w="2592"/>
        <w:gridCol w:w="320"/>
        <w:gridCol w:w="3119"/>
        <w:gridCol w:w="1721"/>
      </w:tblGrid>
      <w:tr>
        <w:tblPrEx>
          <w:tblCellMar>
            <w:top w:w="0" w:type="dxa"/>
            <w:left w:w="0" w:type="dxa"/>
            <w:bottom w:w="0" w:type="dxa"/>
            <w:right w:w="0" w:type="dxa"/>
          </w:tblCellMar>
        </w:tblPrEx>
        <w:trPr>
          <w:cantSplit/>
          <w:trHeight w:val="263" w:hRule="atLeast"/>
          <w:tblHeader/>
          <w:jc w:val="center"/>
        </w:trPr>
        <w:tc>
          <w:tcPr>
            <w:tcW w:w="2190"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一级指标</w:t>
            </w: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二级指标</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分值</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提交资料</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评分标准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lang w:eastAsia="zh-CN"/>
              </w:rPr>
            </w:pPr>
            <w:r>
              <w:rPr>
                <w:rFonts w:hint="eastAsia" w:ascii="宋体" w:hAnsi="宋体" w:eastAsia="宋体" w:cs="宋体"/>
                <w:b/>
                <w:bCs w:val="0"/>
                <w:i w:val="0"/>
                <w:color w:val="000000"/>
                <w:sz w:val="21"/>
                <w:szCs w:val="21"/>
                <w:u w:val="none"/>
                <w:lang w:eastAsia="zh-CN"/>
              </w:rPr>
              <w:t>自评分数</w:t>
            </w:r>
          </w:p>
        </w:tc>
      </w:tr>
      <w:tr>
        <w:tblPrEx>
          <w:tblCellMar>
            <w:top w:w="0" w:type="dxa"/>
            <w:left w:w="0" w:type="dxa"/>
            <w:bottom w:w="0" w:type="dxa"/>
            <w:right w:w="0" w:type="dxa"/>
          </w:tblCellMar>
        </w:tblPrEx>
        <w:trPr>
          <w:cantSplit/>
          <w:trHeight w:val="3515" w:hRule="atLeast"/>
          <w:jc w:val="center"/>
        </w:trPr>
        <w:tc>
          <w:tcPr>
            <w:tcW w:w="2190"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一、</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中医临床评价</w:t>
            </w:r>
            <w:r>
              <w:rPr>
                <w:rFonts w:hint="eastAsia" w:ascii="宋体" w:hAnsi="宋体" w:eastAsia="宋体" w:cs="宋体"/>
                <w:b/>
                <w:bCs w:val="0"/>
                <w:i w:val="0"/>
                <w:color w:val="000000"/>
                <w:kern w:val="0"/>
                <w:sz w:val="21"/>
                <w:szCs w:val="21"/>
                <w:u w:val="none"/>
                <w:lang w:val="en-US" w:eastAsia="zh-CN" w:bidi="ar"/>
              </w:rPr>
              <w:br w:type="textWrapping"/>
            </w:r>
            <w:r>
              <w:rPr>
                <w:rFonts w:hint="eastAsia" w:ascii="宋体" w:hAnsi="宋体" w:eastAsia="宋体" w:cs="宋体"/>
                <w:b/>
                <w:bCs w:val="0"/>
                <w:i w:val="0"/>
                <w:color w:val="000000"/>
                <w:kern w:val="0"/>
                <w:sz w:val="21"/>
                <w:szCs w:val="21"/>
                <w:u w:val="none"/>
                <w:lang w:val="en-US" w:eastAsia="zh-CN" w:bidi="ar"/>
              </w:rPr>
              <w:t>（60分）</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一、</w:t>
            </w:r>
          </w:p>
          <w:p>
            <w:pPr>
              <w:keepNext w:val="0"/>
              <w:keepLines w:val="0"/>
              <w:pageBreakBefore w:val="0"/>
              <w:widowControl/>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中医临床评价</w:t>
            </w:r>
            <w:r>
              <w:rPr>
                <w:rFonts w:hint="eastAsia" w:ascii="宋体" w:hAnsi="宋体" w:eastAsia="宋体" w:cs="宋体"/>
                <w:b/>
                <w:bCs w:val="0"/>
                <w:i w:val="0"/>
                <w:color w:val="000000"/>
                <w:kern w:val="0"/>
                <w:sz w:val="21"/>
                <w:szCs w:val="21"/>
                <w:u w:val="none"/>
                <w:lang w:val="en-US" w:eastAsia="zh-CN" w:bidi="ar"/>
              </w:rPr>
              <w:br w:type="textWrapping"/>
            </w:r>
            <w:r>
              <w:rPr>
                <w:rFonts w:hint="eastAsia" w:ascii="宋体" w:hAnsi="宋体" w:eastAsia="宋体" w:cs="宋体"/>
                <w:b/>
                <w:bCs w:val="0"/>
                <w:i w:val="0"/>
                <w:color w:val="000000"/>
                <w:kern w:val="0"/>
                <w:sz w:val="21"/>
                <w:szCs w:val="21"/>
                <w:u w:val="none"/>
                <w:lang w:val="en-US" w:eastAsia="zh-CN" w:bidi="ar"/>
              </w:rPr>
              <w:t>（60分）</w:t>
            </w: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一、</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中医临床评价</w:t>
            </w:r>
            <w:r>
              <w:rPr>
                <w:rFonts w:hint="eastAsia" w:ascii="宋体" w:hAnsi="宋体" w:eastAsia="宋体" w:cs="宋体"/>
                <w:b/>
                <w:bCs w:val="0"/>
                <w:i w:val="0"/>
                <w:color w:val="000000"/>
                <w:kern w:val="0"/>
                <w:sz w:val="21"/>
                <w:szCs w:val="21"/>
                <w:u w:val="none"/>
                <w:lang w:val="en-US" w:eastAsia="zh-CN" w:bidi="ar"/>
              </w:rPr>
              <w:br w:type="textWrapping"/>
            </w:r>
            <w:r>
              <w:rPr>
                <w:rFonts w:hint="eastAsia" w:ascii="宋体" w:hAnsi="宋体" w:eastAsia="宋体" w:cs="宋体"/>
                <w:b/>
                <w:bCs w:val="0"/>
                <w:i w:val="0"/>
                <w:color w:val="000000"/>
                <w:kern w:val="0"/>
                <w:sz w:val="21"/>
                <w:szCs w:val="21"/>
                <w:u w:val="none"/>
                <w:lang w:val="en-US" w:eastAsia="zh-CN" w:bidi="ar"/>
              </w:rPr>
              <w:t>（60分）</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pStyle w:val="7"/>
              <w:keepNext w:val="0"/>
              <w:keepLines w:val="0"/>
              <w:pageBreakBefore w:val="0"/>
              <w:kinsoku/>
              <w:wordWrap/>
              <w:overflowPunct/>
              <w:topLinePunct w:val="0"/>
              <w:bidi w:val="0"/>
              <w:adjustRightInd/>
              <w:snapToGrid/>
              <w:spacing w:line="360" w:lineRule="exact"/>
              <w:rPr>
                <w:rFonts w:hint="eastAsia"/>
                <w:b/>
                <w:bCs w:val="0"/>
                <w:color w:val="000000"/>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一、</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中医临床评价</w:t>
            </w:r>
            <w:r>
              <w:rPr>
                <w:rFonts w:hint="eastAsia" w:ascii="宋体" w:hAnsi="宋体" w:eastAsia="宋体" w:cs="宋体"/>
                <w:b/>
                <w:bCs w:val="0"/>
                <w:i w:val="0"/>
                <w:color w:val="000000"/>
                <w:kern w:val="0"/>
                <w:sz w:val="21"/>
                <w:szCs w:val="21"/>
                <w:u w:val="none"/>
                <w:lang w:val="en-US" w:eastAsia="zh-CN" w:bidi="ar"/>
              </w:rPr>
              <w:br w:type="textWrapping"/>
            </w:r>
            <w:r>
              <w:rPr>
                <w:rFonts w:hint="eastAsia" w:ascii="宋体" w:hAnsi="宋体" w:eastAsia="宋体" w:cs="宋体"/>
                <w:b/>
                <w:bCs w:val="0"/>
                <w:i w:val="0"/>
                <w:color w:val="000000"/>
                <w:kern w:val="0"/>
                <w:sz w:val="21"/>
                <w:szCs w:val="21"/>
                <w:u w:val="none"/>
                <w:lang w:val="en-US" w:eastAsia="zh-CN" w:bidi="ar"/>
              </w:rPr>
              <w:t>（60分）</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（1）以中医理论为指导，源于名医名方，理法方药合理</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lang w:val="en-US"/>
              </w:rPr>
            </w:pPr>
            <w:r>
              <w:rPr>
                <w:rFonts w:hint="eastAsia" w:ascii="宋体" w:hAnsi="宋体" w:eastAsia="宋体" w:cs="宋体"/>
                <w:b/>
                <w:i w:val="0"/>
                <w:color w:val="000000"/>
                <w:kern w:val="0"/>
                <w:sz w:val="21"/>
                <w:szCs w:val="21"/>
                <w:u w:val="none"/>
                <w:lang w:val="en-US" w:eastAsia="zh-CN" w:bidi="ar"/>
              </w:rPr>
              <w:t>10</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textAlignment w:val="center"/>
              <w:rPr>
                <w:rFonts w:hint="eastAsia"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w:t>
            </w:r>
            <w:r>
              <w:rPr>
                <w:rFonts w:hint="eastAsia" w:eastAsia="宋体" w:cs="宋体"/>
                <w:i w:val="0"/>
                <w:color w:val="000000"/>
                <w:kern w:val="0"/>
                <w:sz w:val="21"/>
                <w:szCs w:val="21"/>
                <w:u w:val="none"/>
                <w:lang w:val="en-US" w:eastAsia="zh-CN" w:bidi="ar"/>
              </w:rPr>
              <w:t>处方提供者资料</w:t>
            </w:r>
          </w:p>
          <w:p>
            <w:pPr>
              <w:keepNext w:val="0"/>
              <w:keepLines w:val="0"/>
              <w:pageBreakBefore w:val="0"/>
              <w:widowControl/>
              <w:kinsoku/>
              <w:wordWrap/>
              <w:overflowPunct/>
              <w:topLinePunct w:val="0"/>
              <w:autoSpaceDE/>
              <w:autoSpaceDN/>
              <w:bidi w:val="0"/>
              <w:adjustRightInd/>
              <w:snapToGrid/>
              <w:spacing w:line="360" w:lineRule="exact"/>
              <w:ind w:firstLine="630" w:firstLineChars="300"/>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□卫健委或中医药局正式发文</w:t>
            </w:r>
          </w:p>
          <w:p>
            <w:pPr>
              <w:pStyle w:val="7"/>
              <w:keepNext w:val="0"/>
              <w:keepLines w:val="0"/>
              <w:pageBreakBefore w:val="0"/>
              <w:kinsoku/>
              <w:wordWrap/>
              <w:overflowPunct/>
              <w:topLinePunct w:val="0"/>
              <w:bidi w:val="0"/>
              <w:adjustRightInd/>
              <w:snapToGrid/>
              <w:spacing w:line="360" w:lineRule="exact"/>
              <w:ind w:firstLine="630" w:firstLineChars="300"/>
              <w:rPr>
                <w:rFonts w:hint="eastAsia"/>
                <w:color w:val="000000"/>
                <w:lang w:val="en-US" w:eastAsia="zh-CN"/>
              </w:rPr>
            </w:pPr>
            <w:r>
              <w:rPr>
                <w:rFonts w:hint="eastAsia" w:ascii="宋体" w:hAnsi="宋体" w:eastAsia="宋体" w:cs="宋体"/>
                <w:i w:val="0"/>
                <w:color w:val="000000"/>
                <w:kern w:val="0"/>
                <w:sz w:val="21"/>
                <w:szCs w:val="21"/>
                <w:u w:val="none"/>
                <w:lang w:val="en-US" w:eastAsia="zh-CN" w:bidi="ar"/>
              </w:rPr>
              <w:t>□</w:t>
            </w:r>
            <w:r>
              <w:rPr>
                <w:rFonts w:hint="eastAsia" w:ascii="宋体" w:hAnsi="宋体" w:eastAsia="宋体" w:cs="宋体"/>
                <w:color w:val="000000"/>
                <w:sz w:val="21"/>
                <w:szCs w:val="21"/>
                <w:lang w:val="en-US" w:bidi="ar"/>
              </w:rPr>
              <w:t>理论依据及处方来源</w:t>
            </w:r>
            <w:r>
              <w:rPr>
                <w:rFonts w:hint="eastAsia" w:ascii="宋体" w:hAnsi="宋体" w:eastAsia="宋体" w:cs="宋体"/>
                <w:i w:val="0"/>
                <w:color w:val="000000"/>
                <w:kern w:val="0"/>
                <w:sz w:val="21"/>
                <w:szCs w:val="21"/>
                <w:u w:val="none"/>
                <w:lang w:val="en-US" w:eastAsia="zh-CN" w:bidi="ar"/>
              </w:rPr>
              <w:t>概述</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numPr>
                <w:ilvl w:val="0"/>
                <w:numId w:val="0"/>
              </w:numPr>
              <w:kinsoku/>
              <w:wordWrap/>
              <w:overflowPunct/>
              <w:topLinePunct w:val="0"/>
              <w:bidi w:val="0"/>
              <w:adjustRightInd/>
              <w:snapToGrid/>
              <w:spacing w:line="360" w:lineRule="exact"/>
              <w:ind w:firstLine="422" w:firstLineChars="200"/>
              <w:jc w:val="left"/>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eastAsia="zh-CN"/>
              </w:rPr>
              <w:t>一、源于名医名方：总分</w:t>
            </w:r>
            <w:r>
              <w:rPr>
                <w:rFonts w:hint="eastAsia" w:ascii="宋体" w:hAnsi="宋体" w:eastAsia="宋体" w:cs="宋体"/>
                <w:b/>
                <w:bCs/>
                <w:i w:val="0"/>
                <w:iCs w:val="0"/>
                <w:color w:val="000000"/>
                <w:sz w:val="21"/>
                <w:szCs w:val="21"/>
                <w:u w:val="none"/>
                <w:lang w:val="en-US" w:eastAsia="zh-CN"/>
              </w:rPr>
              <w:t>5分。</w:t>
            </w:r>
          </w:p>
          <w:p>
            <w:pPr>
              <w:keepNext w:val="0"/>
              <w:keepLines w:val="0"/>
              <w:pageBreakBefore w:val="0"/>
              <w:numPr>
                <w:ilvl w:val="0"/>
                <w:numId w:val="0"/>
              </w:numPr>
              <w:kinsoku/>
              <w:wordWrap/>
              <w:overflowPunct/>
              <w:topLinePunct w:val="0"/>
              <w:bidi w:val="0"/>
              <w:adjustRightInd/>
              <w:snapToGrid/>
              <w:spacing w:line="360" w:lineRule="exact"/>
              <w:ind w:firstLine="420" w:firstLineChars="200"/>
              <w:jc w:val="left"/>
              <w:rPr>
                <w:rFonts w:hint="eastAsia" w:ascii="宋体" w:hAnsi="宋体" w:eastAsia="宋体" w:cs="宋体"/>
                <w:color w:val="000000"/>
                <w:kern w:val="0"/>
                <w:sz w:val="21"/>
                <w:szCs w:val="21"/>
                <w:lang w:val="en-US" w:bidi="zh-CN"/>
              </w:rPr>
            </w:pPr>
            <w:r>
              <w:rPr>
                <w:rFonts w:hint="eastAsia" w:ascii="宋体" w:hAnsi="宋体" w:eastAsia="宋体" w:cs="宋体"/>
                <w:b w:val="0"/>
                <w:bCs w:val="0"/>
                <w:i w:val="0"/>
                <w:iCs w:val="0"/>
                <w:color w:val="000000"/>
                <w:sz w:val="21"/>
                <w:szCs w:val="21"/>
                <w:u w:val="none"/>
                <w:lang w:val="en-US" w:eastAsia="zh-CN"/>
              </w:rPr>
              <w:t>（一）</w:t>
            </w:r>
            <w:r>
              <w:rPr>
                <w:rFonts w:hint="eastAsia" w:ascii="宋体" w:hAnsi="宋体" w:eastAsia="宋体" w:cs="宋体"/>
                <w:b w:val="0"/>
                <w:bCs w:val="0"/>
                <w:i w:val="0"/>
                <w:iCs w:val="0"/>
                <w:color w:val="000000"/>
                <w:sz w:val="21"/>
                <w:szCs w:val="21"/>
                <w:u w:val="none"/>
                <w:lang w:eastAsia="zh-CN"/>
              </w:rPr>
              <w:t>处方源于名医，</w:t>
            </w:r>
            <w:r>
              <w:rPr>
                <w:rFonts w:hint="eastAsia" w:ascii="宋体" w:hAnsi="宋体" w:eastAsia="宋体" w:cs="宋体"/>
                <w:b w:val="0"/>
                <w:bCs w:val="0"/>
                <w:i w:val="0"/>
                <w:iCs w:val="0"/>
                <w:color w:val="000000"/>
                <w:sz w:val="21"/>
                <w:szCs w:val="21"/>
                <w:u w:val="none"/>
                <w:lang w:val="en-US" w:eastAsia="zh-CN"/>
              </w:rPr>
              <w:t>3分。</w:t>
            </w:r>
            <w:r>
              <w:rPr>
                <w:rFonts w:hint="eastAsia" w:ascii="宋体" w:hAnsi="宋体" w:eastAsia="宋体" w:cs="宋体"/>
                <w:color w:val="000000"/>
                <w:kern w:val="0"/>
                <w:sz w:val="21"/>
                <w:szCs w:val="21"/>
                <w:lang w:val="en-US" w:bidi="zh-CN"/>
              </w:rPr>
              <w:t>提供者为：1.院士、国医大师，3分；2.全国名中医，2.5分；3.广东省名中医，2分；4.主任中医师，1.5分；5.副主任中医师及其以下，1分。</w:t>
            </w:r>
          </w:p>
          <w:p>
            <w:pPr>
              <w:keepNext w:val="0"/>
              <w:keepLines w:val="0"/>
              <w:pageBreakBefore w:val="0"/>
              <w:numPr>
                <w:ilvl w:val="0"/>
                <w:numId w:val="0"/>
              </w:numPr>
              <w:kinsoku/>
              <w:wordWrap/>
              <w:overflowPunct/>
              <w:topLinePunct w:val="0"/>
              <w:bidi w:val="0"/>
              <w:adjustRightInd/>
              <w:snapToGrid/>
              <w:spacing w:line="360" w:lineRule="exact"/>
              <w:ind w:firstLine="420" w:firstLineChars="200"/>
              <w:jc w:val="left"/>
              <w:rPr>
                <w:color w:val="000000"/>
                <w:highlight w:val="none"/>
              </w:rPr>
            </w:pPr>
            <w:r>
              <w:rPr>
                <w:rFonts w:hint="eastAsia" w:ascii="宋体" w:hAnsi="宋体" w:eastAsia="宋体" w:cs="宋体"/>
                <w:color w:val="000000"/>
                <w:kern w:val="0"/>
                <w:sz w:val="21"/>
                <w:szCs w:val="21"/>
                <w:lang w:val="en-US" w:bidi="zh-CN"/>
              </w:rPr>
              <w:t>（二）处方提供者所在专科为</w:t>
            </w:r>
            <w:r>
              <w:rPr>
                <w:rFonts w:hint="eastAsia" w:ascii="宋体" w:hAnsi="宋体" w:eastAsia="宋体" w:cs="宋体"/>
                <w:color w:val="000000"/>
                <w:kern w:val="0"/>
                <w:sz w:val="21"/>
                <w:szCs w:val="21"/>
                <w:lang w:bidi="zh-CN"/>
              </w:rPr>
              <w:t>国家临床重点专科或国家中医药管理局重点专科,2分。</w:t>
            </w:r>
          </w:p>
          <w:p>
            <w:pPr>
              <w:keepNext w:val="0"/>
              <w:keepLines w:val="0"/>
              <w:pageBreakBefore w:val="0"/>
              <w:numPr>
                <w:ilvl w:val="0"/>
                <w:numId w:val="0"/>
              </w:numPr>
              <w:kinsoku/>
              <w:wordWrap/>
              <w:overflowPunct/>
              <w:topLinePunct w:val="0"/>
              <w:bidi w:val="0"/>
              <w:adjustRightInd/>
              <w:snapToGrid/>
              <w:spacing w:line="360" w:lineRule="exact"/>
              <w:ind w:left="0" w:leftChars="0" w:firstLine="422" w:firstLineChars="200"/>
              <w:jc w:val="left"/>
              <w:rPr>
                <w:rFonts w:hint="eastAsia" w:ascii="宋体" w:hAnsi="宋体" w:eastAsia="宋体" w:cs="宋体"/>
                <w:b/>
                <w:i w:val="0"/>
                <w:color w:val="000000"/>
                <w:kern w:val="2"/>
                <w:sz w:val="21"/>
                <w:szCs w:val="21"/>
                <w:u w:val="none"/>
                <w:lang w:val="en-US" w:eastAsia="zh-CN" w:bidi="ar-SA"/>
              </w:rPr>
            </w:pPr>
            <w:r>
              <w:rPr>
                <w:rFonts w:hint="eastAsia" w:ascii="宋体" w:hAnsi="宋体" w:eastAsia="宋体" w:cs="宋体"/>
                <w:b/>
                <w:bCs/>
                <w:i w:val="0"/>
                <w:iCs w:val="0"/>
                <w:color w:val="000000"/>
                <w:sz w:val="21"/>
                <w:szCs w:val="21"/>
                <w:u w:val="none"/>
                <w:lang w:eastAsia="zh-CN"/>
              </w:rPr>
              <w:t>二、理法方药合理：总分</w:t>
            </w:r>
            <w:r>
              <w:rPr>
                <w:rFonts w:hint="eastAsia" w:ascii="宋体" w:hAnsi="宋体" w:eastAsia="宋体" w:cs="宋体"/>
                <w:b/>
                <w:bCs/>
                <w:i w:val="0"/>
                <w:iCs w:val="0"/>
                <w:color w:val="000000"/>
                <w:sz w:val="21"/>
                <w:szCs w:val="21"/>
                <w:u w:val="none"/>
                <w:lang w:val="en-US" w:eastAsia="zh-CN"/>
              </w:rPr>
              <w:t>5分</w:t>
            </w:r>
            <w:r>
              <w:rPr>
                <w:rFonts w:hint="eastAsia" w:ascii="宋体" w:hAnsi="宋体" w:eastAsia="宋体" w:cs="宋体"/>
                <w:b/>
                <w:bCs/>
                <w:i w:val="0"/>
                <w:iCs w:val="0"/>
                <w:color w:val="000000"/>
                <w:sz w:val="21"/>
                <w:szCs w:val="21"/>
                <w:u w:val="none"/>
                <w:lang w:eastAsia="zh-CN"/>
              </w:rPr>
              <w:t>。</w:t>
            </w:r>
            <w:r>
              <w:rPr>
                <w:rFonts w:hint="eastAsia" w:ascii="宋体" w:hAnsi="宋体" w:eastAsia="宋体" w:cs="宋体"/>
                <w:b w:val="0"/>
                <w:bCs w:val="0"/>
                <w:i w:val="0"/>
                <w:iCs w:val="0"/>
                <w:color w:val="000000"/>
                <w:sz w:val="21"/>
                <w:szCs w:val="21"/>
                <w:u w:val="none"/>
                <w:lang w:val="en-US" w:eastAsia="zh-CN"/>
              </w:rPr>
              <w:t>1.治则治法有明确的中医理论支持，2分；2.适用人群及临床定位明确，2分；3.处方精当，1分。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numPr>
                <w:ilvl w:val="0"/>
                <w:numId w:val="0"/>
              </w:numPr>
              <w:kinsoku/>
              <w:wordWrap/>
              <w:overflowPunct/>
              <w:topLinePunct w:val="0"/>
              <w:bidi w:val="0"/>
              <w:adjustRightInd/>
              <w:snapToGrid/>
              <w:spacing w:line="360" w:lineRule="exact"/>
              <w:ind w:left="0" w:leftChars="0" w:firstLine="422" w:firstLineChars="200"/>
              <w:jc w:val="left"/>
              <w:rPr>
                <w:rFonts w:hint="eastAsia" w:ascii="宋体" w:hAnsi="宋体" w:eastAsia="宋体" w:cs="宋体"/>
                <w:b/>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color w:val="000000"/>
                <w:kern w:val="0"/>
                <w:sz w:val="21"/>
                <w:szCs w:val="21"/>
                <w:lang w:bidi="ar"/>
              </w:rPr>
              <w:t>（2）可满足其他临床药品未能满足的临床需求；与广东省内同病种比较，待遴选制剂在临床疗效和药物经济学等有明显优势</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lang w:val="en-US"/>
              </w:rPr>
            </w:pPr>
            <w:r>
              <w:rPr>
                <w:rFonts w:hint="eastAsia" w:ascii="宋体" w:hAnsi="宋体" w:eastAsia="宋体" w:cs="宋体"/>
                <w:b/>
                <w:i w:val="0"/>
                <w:color w:val="000000"/>
                <w:kern w:val="0"/>
                <w:sz w:val="21"/>
                <w:szCs w:val="21"/>
                <w:u w:val="none"/>
                <w:lang w:val="en-US" w:eastAsia="zh-CN" w:bidi="ar"/>
              </w:rPr>
              <w:t>10</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  □无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rPr>
                <w:rFonts w:hint="eastAsia" w:ascii="宋体" w:hAnsi="宋体" w:eastAsia="宋体" w:cs="宋体"/>
                <w:bCs/>
                <w:color w:val="000000"/>
                <w:sz w:val="21"/>
                <w:szCs w:val="21"/>
              </w:rPr>
            </w:pPr>
            <w:r>
              <w:rPr>
                <w:rFonts w:hint="eastAsia" w:ascii="宋体" w:hAnsi="宋体" w:eastAsia="宋体" w:cs="宋体"/>
                <w:b/>
                <w:color w:val="000000"/>
                <w:sz w:val="21"/>
                <w:szCs w:val="21"/>
              </w:rPr>
              <w:t>一、满足临床需求：总分5分。</w:t>
            </w:r>
            <w:r>
              <w:rPr>
                <w:rFonts w:hint="eastAsia" w:ascii="宋体" w:hAnsi="宋体" w:eastAsia="宋体" w:cs="宋体"/>
                <w:bCs/>
                <w:color w:val="000000"/>
                <w:sz w:val="21"/>
                <w:szCs w:val="21"/>
              </w:rPr>
              <w:t>1.目前无其他药物治疗手段的，4-5分；2.治疗效果优于其他已上市药品的，2-3分；3.与临床公认治疗药物相比，有可替代性</w:t>
            </w:r>
            <w:r>
              <w:rPr>
                <w:rFonts w:hint="eastAsia" w:ascii="宋体" w:hAnsi="宋体" w:eastAsia="宋体" w:cs="宋体"/>
                <w:bCs/>
                <w:color w:val="000000"/>
                <w:sz w:val="21"/>
                <w:szCs w:val="21"/>
                <w:lang w:val="en-US" w:eastAsia="zh-CN"/>
              </w:rPr>
              <w:t>的</w:t>
            </w:r>
            <w:r>
              <w:rPr>
                <w:rFonts w:hint="eastAsia" w:ascii="宋体" w:hAnsi="宋体" w:eastAsia="宋体" w:cs="宋体"/>
                <w:bCs/>
                <w:color w:val="000000"/>
                <w:sz w:val="21"/>
                <w:szCs w:val="21"/>
              </w:rPr>
              <w:t>，1分。</w:t>
            </w:r>
          </w:p>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b/>
                <w:i w:val="0"/>
                <w:color w:val="000000"/>
                <w:kern w:val="2"/>
                <w:sz w:val="21"/>
                <w:szCs w:val="21"/>
                <w:u w:val="none"/>
                <w:lang w:val="en-US" w:eastAsia="zh-CN" w:bidi="ar-SA"/>
              </w:rPr>
            </w:pPr>
            <w:r>
              <w:rPr>
                <w:rFonts w:hint="eastAsia" w:ascii="宋体" w:hAnsi="宋体" w:eastAsia="宋体" w:cs="宋体"/>
                <w:b/>
                <w:bCs/>
                <w:color w:val="000000"/>
                <w:sz w:val="21"/>
                <w:szCs w:val="21"/>
                <w:lang w:val="en-US" w:eastAsia="zh-CN"/>
              </w:rPr>
              <w:t>二、具有</w:t>
            </w:r>
            <w:r>
              <w:rPr>
                <w:rFonts w:hint="eastAsia" w:ascii="宋体" w:hAnsi="宋体" w:eastAsia="宋体" w:cs="宋体"/>
                <w:b/>
                <w:bCs/>
                <w:color w:val="000000"/>
                <w:sz w:val="21"/>
                <w:szCs w:val="21"/>
                <w:lang w:eastAsia="zh-CN"/>
              </w:rPr>
              <w:t>治疗优势：总分</w:t>
            </w:r>
            <w:r>
              <w:rPr>
                <w:rFonts w:hint="eastAsia" w:ascii="宋体" w:hAnsi="宋体" w:eastAsia="宋体" w:cs="宋体"/>
                <w:b/>
                <w:bCs/>
                <w:color w:val="000000"/>
                <w:sz w:val="21"/>
                <w:szCs w:val="21"/>
                <w:lang w:val="en-US" w:eastAsia="zh-CN"/>
              </w:rPr>
              <w:t>5分</w:t>
            </w:r>
            <w:r>
              <w:rPr>
                <w:rFonts w:hint="eastAsia" w:ascii="宋体" w:hAnsi="宋体" w:eastAsia="宋体" w:cs="宋体"/>
                <w:b/>
                <w:bCs/>
                <w:color w:val="000000"/>
                <w:sz w:val="21"/>
                <w:szCs w:val="21"/>
                <w:lang w:eastAsia="zh-CN"/>
              </w:rPr>
              <w:t>。</w:t>
            </w:r>
            <w:r>
              <w:rPr>
                <w:rFonts w:hint="eastAsia" w:ascii="宋体" w:hAnsi="宋体" w:eastAsia="宋体" w:cs="宋体"/>
                <w:b w:val="0"/>
                <w:bCs w:val="0"/>
                <w:color w:val="000000"/>
                <w:sz w:val="21"/>
                <w:szCs w:val="21"/>
                <w:lang w:val="en-US" w:eastAsia="zh-CN"/>
              </w:rPr>
              <w:t>1.临床疗效有明显优势，改善疾病预后的，4-5分；1.临床疗效有优势，改善疾病症状、体征，或提高生活质量的，2-3分；3.临床疗效与现有药物相当，但具有药物经济学优势的，1分。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b/>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r>
              <w:rPr>
                <w:rFonts w:hint="eastAsia" w:ascii="宋体" w:hAnsi="宋体" w:eastAsia="宋体" w:cs="宋体"/>
                <w:color w:val="000000"/>
                <w:kern w:val="0"/>
                <w:sz w:val="21"/>
                <w:szCs w:val="21"/>
                <w:lang w:bidi="ar"/>
              </w:rPr>
              <w:t>制剂基于岭南中医学术传承/学术流派</w:t>
            </w:r>
            <w:r>
              <w:rPr>
                <w:rFonts w:hint="eastAsia" w:ascii="宋体" w:hAnsi="宋体" w:eastAsia="宋体" w:cs="宋体"/>
                <w:b w:val="0"/>
                <w:bCs w:val="0"/>
                <w:color w:val="000000"/>
                <w:kern w:val="0"/>
                <w:sz w:val="21"/>
                <w:szCs w:val="21"/>
                <w:lang w:val="zh-CN" w:bidi="zh-CN"/>
              </w:rPr>
              <w:t>，或</w:t>
            </w:r>
            <w:r>
              <w:rPr>
                <w:rFonts w:hint="eastAsia" w:ascii="宋体" w:hAnsi="宋体" w:eastAsia="宋体" w:cs="宋体"/>
                <w:b w:val="0"/>
                <w:bCs w:val="0"/>
                <w:color w:val="000000"/>
                <w:kern w:val="0"/>
                <w:sz w:val="21"/>
                <w:szCs w:val="21"/>
                <w:lang w:val="en-US" w:bidi="zh-CN"/>
              </w:rPr>
              <w:t>处方中含有</w:t>
            </w:r>
            <w:r>
              <w:rPr>
                <w:rFonts w:hint="eastAsia" w:ascii="宋体" w:hAnsi="宋体" w:eastAsia="宋体" w:cs="宋体"/>
                <w:b w:val="0"/>
                <w:bCs w:val="0"/>
                <w:color w:val="000000"/>
                <w:kern w:val="0"/>
                <w:sz w:val="21"/>
                <w:szCs w:val="21"/>
                <w:lang w:val="zh-CN" w:bidi="zh-CN"/>
              </w:rPr>
              <w:t>岭南特色药材</w:t>
            </w:r>
            <w:r>
              <w:rPr>
                <w:rFonts w:hint="eastAsia" w:ascii="宋体" w:hAnsi="宋体" w:eastAsia="宋体" w:cs="宋体"/>
                <w:b w:val="0"/>
                <w:bCs w:val="0"/>
                <w:i w:val="0"/>
                <w:iCs w:val="0"/>
                <w:color w:val="000000"/>
                <w:kern w:val="0"/>
                <w:sz w:val="21"/>
                <w:szCs w:val="21"/>
                <w:u w:val="none"/>
                <w:lang w:val="en-US" w:eastAsia="zh-CN" w:bidi="ar"/>
              </w:rPr>
              <w:t>、含有的药材使用岭南特色炮制方法</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  □无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autoSpaceDE w:val="0"/>
              <w:autoSpaceDN w:val="0"/>
              <w:bidi w:val="0"/>
              <w:adjustRightInd/>
              <w:snapToGrid/>
              <w:spacing w:before="54" w:line="360" w:lineRule="exact"/>
              <w:ind w:firstLine="422" w:firstLineChars="200"/>
              <w:jc w:val="left"/>
              <w:rPr>
                <w:rFonts w:hint="eastAsia" w:ascii="宋体" w:hAnsi="宋体" w:eastAsia="宋体" w:cs="宋体"/>
                <w:b/>
                <w:color w:val="000000"/>
                <w:sz w:val="21"/>
                <w:szCs w:val="21"/>
              </w:rPr>
            </w:pPr>
            <w:r>
              <w:rPr>
                <w:rFonts w:hint="eastAsia" w:ascii="宋体" w:hAnsi="宋体" w:eastAsia="宋体" w:cs="宋体"/>
                <w:b/>
                <w:color w:val="000000"/>
                <w:sz w:val="21"/>
                <w:szCs w:val="21"/>
              </w:rPr>
              <w:t>一、制剂基于岭南中医学术传承/学术流派，2分。</w:t>
            </w:r>
          </w:p>
          <w:p>
            <w:pPr>
              <w:keepNext w:val="0"/>
              <w:keepLines w:val="0"/>
              <w:pageBreakBefore w:val="0"/>
              <w:kinsoku/>
              <w:wordWrap/>
              <w:overflowPunct/>
              <w:topLinePunct w:val="0"/>
              <w:autoSpaceDE w:val="0"/>
              <w:autoSpaceDN w:val="0"/>
              <w:bidi w:val="0"/>
              <w:adjustRightInd/>
              <w:snapToGrid/>
              <w:spacing w:before="54" w:line="360" w:lineRule="exact"/>
              <w:ind w:firstLine="422" w:firstLineChars="200"/>
              <w:jc w:val="left"/>
              <w:rPr>
                <w:rFonts w:hint="eastAsia" w:ascii="宋体" w:hAnsi="宋体" w:eastAsia="宋体" w:cs="宋体"/>
                <w:b/>
                <w:bCs w:val="0"/>
                <w:color w:val="000000"/>
                <w:kern w:val="0"/>
                <w:sz w:val="21"/>
                <w:szCs w:val="21"/>
                <w:lang w:val="zh-CN" w:bidi="zh-CN"/>
              </w:rPr>
            </w:pPr>
            <w:r>
              <w:rPr>
                <w:rFonts w:hint="eastAsia" w:ascii="宋体" w:hAnsi="宋体" w:eastAsia="宋体" w:cs="宋体"/>
                <w:b/>
                <w:bCs w:val="0"/>
                <w:color w:val="000000"/>
                <w:sz w:val="21"/>
                <w:szCs w:val="21"/>
                <w:lang w:val="en-US" w:eastAsia="zh-CN"/>
              </w:rPr>
              <w:t>二、</w:t>
            </w:r>
            <w:r>
              <w:rPr>
                <w:rFonts w:hint="eastAsia" w:ascii="宋体" w:hAnsi="宋体" w:eastAsia="宋体" w:cs="宋体"/>
                <w:b/>
                <w:bCs w:val="0"/>
                <w:color w:val="000000"/>
                <w:kern w:val="0"/>
                <w:sz w:val="21"/>
                <w:szCs w:val="21"/>
                <w:lang w:val="en-US" w:bidi="zh-CN"/>
              </w:rPr>
              <w:t>处方中含有</w:t>
            </w:r>
            <w:r>
              <w:rPr>
                <w:rFonts w:hint="eastAsia" w:ascii="宋体" w:hAnsi="宋体" w:eastAsia="宋体" w:cs="宋体"/>
                <w:b/>
                <w:bCs w:val="0"/>
                <w:color w:val="000000"/>
                <w:kern w:val="0"/>
                <w:sz w:val="21"/>
                <w:szCs w:val="21"/>
                <w:lang w:val="zh-CN" w:bidi="zh-CN"/>
              </w:rPr>
              <w:t>岭南特色药材，</w:t>
            </w:r>
            <w:r>
              <w:rPr>
                <w:rFonts w:hint="eastAsia" w:ascii="宋体" w:hAnsi="宋体" w:eastAsia="宋体" w:cs="宋体"/>
                <w:b/>
                <w:bCs w:val="0"/>
                <w:color w:val="000000"/>
                <w:kern w:val="0"/>
                <w:sz w:val="21"/>
                <w:szCs w:val="21"/>
                <w:lang w:val="en-US" w:bidi="zh-CN"/>
              </w:rPr>
              <w:t>1.5分</w:t>
            </w:r>
            <w:r>
              <w:rPr>
                <w:rFonts w:hint="eastAsia" w:ascii="宋体" w:hAnsi="宋体" w:eastAsia="宋体" w:cs="宋体"/>
                <w:b/>
                <w:bCs w:val="0"/>
                <w:color w:val="000000"/>
                <w:kern w:val="0"/>
                <w:sz w:val="21"/>
                <w:szCs w:val="21"/>
                <w:lang w:val="zh-CN" w:bidi="zh-CN"/>
              </w:rPr>
              <w:t>。</w:t>
            </w:r>
          </w:p>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b/>
                <w:i w:val="0"/>
                <w:color w:val="000000"/>
                <w:kern w:val="2"/>
                <w:sz w:val="21"/>
                <w:szCs w:val="21"/>
                <w:u w:val="none"/>
                <w:lang w:val="en-US" w:eastAsia="zh-CN" w:bidi="ar-SA"/>
              </w:rPr>
            </w:pPr>
            <w:r>
              <w:rPr>
                <w:rFonts w:hint="eastAsia" w:ascii="宋体" w:hAnsi="宋体" w:eastAsia="宋体" w:cs="宋体"/>
                <w:b/>
                <w:bCs w:val="0"/>
                <w:color w:val="000000"/>
                <w:kern w:val="0"/>
                <w:sz w:val="21"/>
                <w:szCs w:val="21"/>
                <w:lang w:val="en-US" w:bidi="zh-CN"/>
              </w:rPr>
              <w:t>三、处方中含有的药材使用岭南特色炮制方法，1.5分。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b/>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（4）具有5年或以上的临床使用历史，且有相关历史资料</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10</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□有，□临床病历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□再注册批件</w:t>
            </w:r>
          </w:p>
          <w:p>
            <w:pPr>
              <w:keepNext w:val="0"/>
              <w:keepLines w:val="0"/>
              <w:pageBreakBefore w:val="0"/>
              <w:widowControl/>
              <w:suppressLineNumbers w:val="0"/>
              <w:kinsoku/>
              <w:wordWrap/>
              <w:overflowPunct/>
              <w:topLinePunct w:val="0"/>
              <w:autoSpaceDE/>
              <w:autoSpaceDN/>
              <w:bidi w:val="0"/>
              <w:adjustRightInd/>
              <w:snapToGrid/>
              <w:spacing w:line="360" w:lineRule="exact"/>
              <w:ind w:left="630" w:leftChars="300" w:firstLine="0" w:firstLineChars="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□使用记录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2" w:firstLineChars="200"/>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临床使用历史：</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bCs/>
                <w:color w:val="000000"/>
                <w:sz w:val="21"/>
                <w:szCs w:val="21"/>
                <w:lang w:val="en-US" w:eastAsia="zh-CN"/>
              </w:rPr>
              <w:t>.使用</w:t>
            </w:r>
            <w:r>
              <w:rPr>
                <w:rFonts w:hint="eastAsia" w:ascii="宋体" w:hAnsi="宋体" w:eastAsia="宋体" w:cs="宋体"/>
                <w:b w:val="0"/>
                <w:bCs w:val="0"/>
                <w:i w:val="0"/>
                <w:iCs w:val="0"/>
                <w:color w:val="000000"/>
                <w:kern w:val="0"/>
                <w:sz w:val="21"/>
                <w:szCs w:val="21"/>
                <w:u w:val="none"/>
                <w:lang w:val="en-US" w:eastAsia="zh-CN" w:bidi="ar"/>
              </w:rPr>
              <w:t>＞20年，9-10分；2</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使用16-19年，6-8分；3</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使用10-15年，4-5分；4</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使用5-9年，3分。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346"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（5）临床使用量大。获批</w:t>
            </w:r>
            <w:r>
              <w:rPr>
                <w:rFonts w:hint="eastAsia" w:ascii="宋体" w:hAnsi="宋体" w:eastAsia="宋体" w:cs="宋体"/>
                <w:b w:val="0"/>
                <w:bCs w:val="0"/>
                <w:i w:val="0"/>
                <w:iCs w:val="0"/>
                <w:color w:val="000000"/>
                <w:kern w:val="0"/>
                <w:sz w:val="21"/>
                <w:szCs w:val="21"/>
                <w:u w:val="none"/>
                <w:lang w:val="en-US" w:eastAsia="zh-CN" w:bidi="ar"/>
              </w:rPr>
              <w:t>后连续3年使用总量应超过10000个销售包装单位，且曾单年度生产及使用量应超过3000个销售包装单位</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10</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□有，□再注册数据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□备案数据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□年度报告数据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□使用记录</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2" w:firstLineChars="200"/>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val="0"/>
                <w:color w:val="000000"/>
                <w:sz w:val="21"/>
                <w:szCs w:val="21"/>
                <w:lang w:val="en-US" w:eastAsia="zh-CN"/>
              </w:rPr>
              <w:t>连续</w:t>
            </w:r>
            <w:r>
              <w:rPr>
                <w:rFonts w:hint="eastAsia" w:ascii="宋体" w:hAnsi="宋体" w:eastAsia="宋体" w:cs="宋体"/>
                <w:b/>
                <w:bCs w:val="0"/>
                <w:i w:val="0"/>
                <w:iCs w:val="0"/>
                <w:color w:val="000000"/>
                <w:kern w:val="0"/>
                <w:sz w:val="21"/>
                <w:szCs w:val="21"/>
                <w:u w:val="none"/>
                <w:lang w:val="en-US" w:eastAsia="zh-CN" w:bidi="ar"/>
              </w:rPr>
              <w:t>3年使用总量：</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累计＞5万，9-10分；2</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累计3-5万，7-8分；3</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累计2-3万，5-6分；4</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累计1-2万，3-4分；5</w:t>
            </w:r>
            <w:r>
              <w:rPr>
                <w:rFonts w:hint="eastAsia" w:ascii="宋体" w:hAnsi="宋体" w:eastAsia="宋体" w:cs="宋体"/>
                <w:bCs/>
                <w:color w:val="000000"/>
                <w:sz w:val="21"/>
                <w:szCs w:val="21"/>
                <w:lang w:val="en-US" w:eastAsia="zh-CN"/>
              </w:rPr>
              <w:t>.</w:t>
            </w:r>
            <w:r>
              <w:rPr>
                <w:rFonts w:hint="eastAsia" w:ascii="宋体" w:hAnsi="宋体" w:eastAsia="宋体" w:cs="宋体"/>
                <w:b w:val="0"/>
                <w:bCs w:val="0"/>
                <w:i w:val="0"/>
                <w:iCs w:val="0"/>
                <w:color w:val="000000"/>
                <w:kern w:val="0"/>
                <w:sz w:val="21"/>
                <w:szCs w:val="21"/>
                <w:u w:val="none"/>
                <w:lang w:val="en-US" w:eastAsia="zh-CN" w:bidi="ar"/>
              </w:rPr>
              <w:t>累计＜1万，0-2分。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（6）多点使用。在本医疗机构多院区、多个门诊部使用，或曾在医联体内或其他医疗机构调剂使用的</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□有，□调剂批件</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□调剂合同  </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□调剂后相关使用凭证    </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□在本医疗机构多院区、多个门诊部使用的证明材料</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bidi w:val="0"/>
              <w:adjustRightInd/>
              <w:snapToGrid/>
              <w:spacing w:line="360" w:lineRule="exact"/>
              <w:ind w:firstLine="422" w:firstLineChars="200"/>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color w:val="000000"/>
                <w:sz w:val="21"/>
                <w:szCs w:val="21"/>
                <w:lang w:val="en-US" w:eastAsia="zh-CN"/>
              </w:rPr>
              <w:t>多点使用：总分5分。</w:t>
            </w:r>
            <w:r>
              <w:rPr>
                <w:rFonts w:hint="eastAsia" w:ascii="宋体" w:hAnsi="宋体" w:eastAsia="宋体" w:cs="宋体"/>
                <w:b w:val="0"/>
                <w:bCs w:val="0"/>
                <w:i w:val="0"/>
                <w:iCs w:val="0"/>
                <w:color w:val="000000"/>
                <w:kern w:val="0"/>
                <w:sz w:val="21"/>
                <w:szCs w:val="21"/>
                <w:u w:val="none"/>
                <w:lang w:val="en-US" w:eastAsia="zh-CN" w:bidi="ar"/>
              </w:rPr>
              <w:t>1.</w:t>
            </w:r>
            <w:r>
              <w:rPr>
                <w:rFonts w:hint="eastAsia" w:ascii="宋体" w:hAnsi="宋体" w:eastAsia="宋体" w:cs="宋体"/>
                <w:color w:val="000000"/>
                <w:sz w:val="21"/>
                <w:szCs w:val="21"/>
                <w:lang w:val="en-US" w:eastAsia="zh-CN"/>
              </w:rPr>
              <w:t>使用点＞3个，3-4分；</w:t>
            </w:r>
            <w:r>
              <w:rPr>
                <w:rFonts w:hint="eastAsia" w:ascii="宋体" w:hAnsi="宋体" w:eastAsia="宋体" w:cs="宋体"/>
                <w:b w:val="0"/>
                <w:bCs w:val="0"/>
                <w:i w:val="0"/>
                <w:iCs w:val="0"/>
                <w:color w:val="000000"/>
                <w:kern w:val="0"/>
                <w:sz w:val="21"/>
                <w:szCs w:val="21"/>
                <w:u w:val="none"/>
                <w:lang w:val="en-US" w:eastAsia="zh-CN" w:bidi="ar"/>
              </w:rPr>
              <w:t>2</w:t>
            </w:r>
            <w:r>
              <w:rPr>
                <w:rFonts w:hint="eastAsia" w:ascii="宋体" w:hAnsi="宋体" w:eastAsia="宋体" w:cs="宋体"/>
                <w:bCs/>
                <w:color w:val="000000"/>
                <w:sz w:val="21"/>
                <w:szCs w:val="21"/>
                <w:lang w:val="en-US" w:eastAsia="zh-CN"/>
              </w:rPr>
              <w:t>.</w:t>
            </w:r>
            <w:r>
              <w:rPr>
                <w:rFonts w:hint="eastAsia" w:ascii="宋体" w:hAnsi="宋体" w:eastAsia="宋体" w:cs="宋体"/>
                <w:color w:val="000000"/>
                <w:sz w:val="21"/>
                <w:szCs w:val="21"/>
                <w:lang w:val="en-US" w:eastAsia="zh-CN"/>
              </w:rPr>
              <w:t>使用点为3个，2.5分；</w:t>
            </w:r>
            <w:r>
              <w:rPr>
                <w:rFonts w:hint="eastAsia" w:ascii="宋体" w:hAnsi="宋体" w:eastAsia="宋体" w:cs="宋体"/>
                <w:b w:val="0"/>
                <w:bCs w:val="0"/>
                <w:i w:val="0"/>
                <w:iCs w:val="0"/>
                <w:color w:val="000000"/>
                <w:kern w:val="0"/>
                <w:sz w:val="21"/>
                <w:szCs w:val="21"/>
                <w:u w:val="none"/>
                <w:lang w:val="en-US" w:eastAsia="zh-CN" w:bidi="ar"/>
              </w:rPr>
              <w:t>3</w:t>
            </w:r>
            <w:r>
              <w:rPr>
                <w:rFonts w:hint="eastAsia" w:ascii="宋体" w:hAnsi="宋体" w:eastAsia="宋体" w:cs="宋体"/>
                <w:bCs/>
                <w:color w:val="000000"/>
                <w:sz w:val="21"/>
                <w:szCs w:val="21"/>
                <w:lang w:val="en-US" w:eastAsia="zh-CN"/>
              </w:rPr>
              <w:t>.</w:t>
            </w:r>
            <w:r>
              <w:rPr>
                <w:rFonts w:hint="eastAsia" w:ascii="宋体" w:hAnsi="宋体" w:eastAsia="宋体" w:cs="宋体"/>
                <w:color w:val="000000"/>
                <w:sz w:val="21"/>
                <w:szCs w:val="21"/>
                <w:lang w:val="en-US" w:eastAsia="zh-CN"/>
              </w:rPr>
              <w:t>使用点＜3个，0-2分；4.曾跨医联体或跨省使用的，1分。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bidi w:val="0"/>
              <w:adjustRightInd/>
              <w:snapToGrid/>
              <w:spacing w:line="360" w:lineRule="exact"/>
              <w:ind w:firstLine="420" w:firstLineChars="200"/>
              <w:textAlignment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color w:val="000000"/>
                <w:kern w:val="0"/>
                <w:sz w:val="21"/>
                <w:szCs w:val="21"/>
                <w:lang w:bidi="ar"/>
              </w:rPr>
              <w:t>（7）梳理出具有一定规律性和可重复性制剂临床用药体会，阐述制剂的临床价值；通过人用经验研究明确制剂临床定位、适用人群、用药剂量、疗程、疗效特点和临床获益等</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10</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630" w:hanging="630" w:hanging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□有，□临床病历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□总结报告资料 </w:t>
            </w:r>
          </w:p>
          <w:p>
            <w:pPr>
              <w:keepNext w:val="0"/>
              <w:keepLines w:val="0"/>
              <w:pageBreakBefore w:val="0"/>
              <w:widowControl/>
              <w:suppressLineNumbers w:val="0"/>
              <w:kinsoku/>
              <w:wordWrap/>
              <w:overflowPunct/>
              <w:topLinePunct w:val="0"/>
              <w:autoSpaceDE/>
              <w:autoSpaceDN/>
              <w:bidi w:val="0"/>
              <w:adjustRightInd/>
              <w:snapToGrid/>
              <w:spacing w:line="360" w:lineRule="exact"/>
              <w:ind w:left="630" w:leftChars="300" w:firstLine="0" w:firstLineChars="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1</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明确制剂临床定位、适用人群、用药剂量、疗效特点和临床获益，形成研究报告，8-10分</w:t>
            </w:r>
            <w:r>
              <w:rPr>
                <w:rFonts w:hint="eastAsia" w:ascii="宋体" w:hAnsi="宋体" w:eastAsia="宋体" w:cs="宋体"/>
                <w:b w:val="0"/>
                <w:bCs w:val="0"/>
                <w:color w:val="000000"/>
                <w:sz w:val="21"/>
                <w:szCs w:val="21"/>
                <w:lang w:eastAsia="zh-CN"/>
              </w:rPr>
              <w:t>。</w:t>
            </w:r>
          </w:p>
          <w:p>
            <w:pPr>
              <w:keepNext w:val="0"/>
              <w:keepLines w:val="0"/>
              <w:pageBreakBefore w:val="0"/>
              <w:widowControl/>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2</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明确制剂临床定位、适用人群、用药剂量，且能提供不少于100例的临床有效性和安全性数据，5-7分</w:t>
            </w:r>
            <w:r>
              <w:rPr>
                <w:rFonts w:hint="eastAsia" w:ascii="宋体" w:hAnsi="宋体" w:eastAsia="宋体" w:cs="宋体"/>
                <w:b w:val="0"/>
                <w:bCs w:val="0"/>
                <w:color w:val="000000"/>
                <w:sz w:val="21"/>
                <w:szCs w:val="21"/>
                <w:lang w:eastAsia="zh-CN"/>
              </w:rPr>
              <w:t>。</w:t>
            </w:r>
          </w:p>
          <w:p>
            <w:pPr>
              <w:keepNext w:val="0"/>
              <w:keepLines w:val="0"/>
              <w:pageBreakBefore w:val="0"/>
              <w:widowControl/>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b w:val="0"/>
                <w:bCs w:val="0"/>
                <w:color w:val="000000"/>
                <w:sz w:val="21"/>
                <w:szCs w:val="21"/>
                <w:lang w:eastAsia="zh-CN"/>
              </w:rPr>
            </w:pPr>
            <w:r>
              <w:rPr>
                <w:rFonts w:hint="eastAsia" w:ascii="宋体" w:hAnsi="宋体" w:eastAsia="宋体" w:cs="宋体"/>
                <w:b w:val="0"/>
                <w:bCs w:val="0"/>
                <w:color w:val="000000"/>
                <w:sz w:val="21"/>
                <w:szCs w:val="21"/>
              </w:rPr>
              <w:t>3</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 xml:space="preserve"> 提供不少于50例制剂有效性和安全性数据，3-6分</w:t>
            </w:r>
            <w:r>
              <w:rPr>
                <w:rFonts w:hint="eastAsia" w:ascii="宋体" w:hAnsi="宋体" w:eastAsia="宋体" w:cs="宋体"/>
                <w:b w:val="0"/>
                <w:bCs w:val="0"/>
                <w:color w:val="000000"/>
                <w:sz w:val="21"/>
                <w:szCs w:val="21"/>
                <w:lang w:eastAsia="zh-CN"/>
              </w:rPr>
              <w:t>。</w:t>
            </w:r>
          </w:p>
          <w:p>
            <w:pPr>
              <w:keepNext w:val="0"/>
              <w:keepLines w:val="0"/>
              <w:pageBreakBefore w:val="0"/>
              <w:widowControl/>
              <w:suppressLineNumbers w:val="0"/>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color w:val="000000"/>
                <w:sz w:val="21"/>
                <w:szCs w:val="21"/>
              </w:rPr>
              <w:t>4</w:t>
            </w:r>
            <w:r>
              <w:rPr>
                <w:rFonts w:hint="eastAsia" w:ascii="宋体" w:hAnsi="宋体" w:eastAsia="宋体" w:cs="宋体"/>
                <w:b w:val="0"/>
                <w:bCs w:val="0"/>
                <w:color w:val="000000"/>
                <w:sz w:val="21"/>
                <w:szCs w:val="21"/>
                <w:lang w:eastAsia="zh-CN"/>
              </w:rPr>
              <w:t>.</w:t>
            </w:r>
            <w:r>
              <w:rPr>
                <w:rFonts w:hint="eastAsia" w:ascii="宋体" w:hAnsi="宋体" w:eastAsia="宋体" w:cs="宋体"/>
                <w:b w:val="0"/>
                <w:bCs w:val="0"/>
                <w:color w:val="000000"/>
                <w:sz w:val="21"/>
                <w:szCs w:val="21"/>
              </w:rPr>
              <w:t>提供5-10例典型病例的，1-2分</w:t>
            </w:r>
            <w:r>
              <w:rPr>
                <w:rFonts w:hint="eastAsia" w:ascii="宋体" w:hAnsi="宋体" w:eastAsia="宋体" w:cs="宋体"/>
                <w:b w:val="0"/>
                <w:bCs w:val="0"/>
                <w:color w:val="000000"/>
                <w:sz w:val="21"/>
                <w:szCs w:val="21"/>
                <w:lang w:eastAsia="zh-CN"/>
              </w:rPr>
              <w:t>。</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b w:val="0"/>
                <w:bCs w:val="0"/>
                <w:i w:val="0"/>
                <w:color w:val="000000"/>
                <w:kern w:val="0"/>
                <w:sz w:val="21"/>
                <w:szCs w:val="21"/>
                <w:u w:val="none"/>
                <w:lang w:val="en-US" w:eastAsia="zh-CN" w:bidi="ar"/>
              </w:rPr>
            </w:pPr>
          </w:p>
        </w:tc>
      </w:tr>
      <w:tr>
        <w:tblPrEx>
          <w:tblCellMar>
            <w:top w:w="0" w:type="dxa"/>
            <w:left w:w="0" w:type="dxa"/>
            <w:bottom w:w="0" w:type="dxa"/>
            <w:right w:w="0" w:type="dxa"/>
          </w:tblCellMar>
        </w:tblPrEx>
        <w:trPr>
          <w:cantSplit/>
          <w:trHeight w:val="283" w:hRule="atLeast"/>
          <w:jc w:val="center"/>
        </w:trPr>
        <w:tc>
          <w:tcPr>
            <w:tcW w:w="2190"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二、</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药学综合评价</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（40分）</w:t>
            </w: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pStyle w:val="7"/>
              <w:keepNext w:val="0"/>
              <w:keepLines w:val="0"/>
              <w:pageBreakBefore w:val="0"/>
              <w:kinsoku/>
              <w:wordWrap/>
              <w:overflowPunct/>
              <w:topLinePunct w:val="0"/>
              <w:bidi w:val="0"/>
              <w:adjustRightInd/>
              <w:snapToGrid/>
              <w:spacing w:line="360" w:lineRule="exact"/>
              <w:jc w:val="both"/>
              <w:rPr>
                <w:rFonts w:hint="eastAsia" w:ascii="宋体" w:hAnsi="宋体" w:eastAsia="宋体" w:cs="宋体"/>
                <w:b/>
                <w:bCs w:val="0"/>
                <w:color w:val="000000"/>
                <w:sz w:val="21"/>
                <w:szCs w:val="21"/>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二、</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药学综合评价</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（40分）</w:t>
            </w: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pStyle w:val="7"/>
              <w:keepNext w:val="0"/>
              <w:keepLines w:val="0"/>
              <w:pageBreakBefore w:val="0"/>
              <w:kinsoku/>
              <w:wordWrap/>
              <w:overflowPunct/>
              <w:topLinePunct w:val="0"/>
              <w:bidi w:val="0"/>
              <w:adjustRightInd/>
              <w:snapToGrid/>
              <w:spacing w:line="360" w:lineRule="exact"/>
              <w:rPr>
                <w:rFonts w:hint="eastAsia" w:ascii="宋体" w:hAnsi="宋体" w:eastAsia="宋体" w:cs="宋体"/>
                <w:b/>
                <w:bCs w:val="0"/>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二、</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药学综合评价</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（40分）</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firstLine="0" w:firstLineChars="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（1）处方药味均有法定标准来源；处方中如使用标识有毒性及现代毒理学证明有毒性的药味，应有明确的中医理论或流派治法支持；如含有十八反、十九畏等配伍禁忌的，申报单位应附安全性方面的证明资料</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□有，□安全性资料</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6"/>
              <w:keepNext w:val="0"/>
              <w:keepLines w:val="0"/>
              <w:pageBreakBefore w:val="0"/>
              <w:kinsoku/>
              <w:wordWrap/>
              <w:overflowPunct/>
              <w:topLinePunct w:val="0"/>
              <w:bidi w:val="0"/>
              <w:adjustRightInd/>
              <w:snapToGrid/>
              <w:spacing w:line="360" w:lineRule="exact"/>
              <w:ind w:firstLine="560"/>
              <w:outlineLvl w:val="2"/>
              <w:rPr>
                <w:rFonts w:hint="eastAsia" w:ascii="宋体" w:hAnsi="宋体" w:eastAsia="宋体" w:cs="宋体"/>
                <w:b/>
                <w:bCs/>
                <w:color w:val="000000"/>
                <w:kern w:val="0"/>
                <w:sz w:val="21"/>
                <w:szCs w:val="21"/>
                <w:lang w:val="zh-CN" w:bidi="zh-CN"/>
              </w:rPr>
            </w:pPr>
            <w:r>
              <w:rPr>
                <w:rFonts w:hint="eastAsia" w:ascii="宋体" w:hAnsi="宋体" w:eastAsia="宋体" w:cs="宋体"/>
                <w:b/>
                <w:bCs/>
                <w:color w:val="000000"/>
                <w:kern w:val="0"/>
                <w:sz w:val="21"/>
                <w:szCs w:val="21"/>
                <w:lang w:val="zh-CN" w:bidi="zh-CN"/>
              </w:rPr>
              <w:t>该指标总分</w:t>
            </w:r>
            <w:r>
              <w:rPr>
                <w:rFonts w:hint="eastAsia" w:ascii="宋体" w:hAnsi="宋体" w:eastAsia="宋体" w:cs="宋体"/>
                <w:b/>
                <w:bCs/>
                <w:color w:val="000000"/>
                <w:kern w:val="0"/>
                <w:sz w:val="21"/>
                <w:szCs w:val="21"/>
                <w:lang w:val="en-US" w:bidi="zh-CN"/>
              </w:rPr>
              <w:t>5分，采用扣分制。</w:t>
            </w:r>
            <w:r>
              <w:rPr>
                <w:rFonts w:hint="eastAsia" w:ascii="宋体" w:hAnsi="宋体" w:eastAsia="宋体" w:cs="宋体"/>
                <w:b/>
                <w:bCs/>
                <w:color w:val="000000"/>
                <w:kern w:val="0"/>
                <w:sz w:val="21"/>
                <w:szCs w:val="21"/>
                <w:lang w:val="zh-CN" w:bidi="zh-CN"/>
              </w:rPr>
              <w:t>扣分项：</w:t>
            </w:r>
          </w:p>
          <w:p>
            <w:pPr>
              <w:pStyle w:val="6"/>
              <w:keepNext w:val="0"/>
              <w:keepLines w:val="0"/>
              <w:pageBreakBefore w:val="0"/>
              <w:kinsoku/>
              <w:wordWrap/>
              <w:overflowPunct/>
              <w:topLinePunct w:val="0"/>
              <w:bidi w:val="0"/>
              <w:adjustRightInd/>
              <w:snapToGrid/>
              <w:spacing w:line="360" w:lineRule="exact"/>
              <w:ind w:firstLine="560"/>
              <w:outlineLvl w:val="2"/>
              <w:rPr>
                <w:rFonts w:hint="eastAsia" w:ascii="宋体" w:hAnsi="宋体" w:eastAsia="宋体" w:cs="宋体"/>
                <w:b w:val="0"/>
                <w:bCs w:val="0"/>
                <w:color w:val="000000"/>
                <w:kern w:val="0"/>
                <w:sz w:val="21"/>
                <w:szCs w:val="21"/>
                <w:lang w:val="en-US" w:bidi="zh-CN"/>
              </w:rPr>
            </w:pPr>
            <w:r>
              <w:rPr>
                <w:rFonts w:hint="eastAsia" w:ascii="宋体" w:hAnsi="宋体" w:eastAsia="宋体" w:cs="宋体"/>
                <w:b w:val="0"/>
                <w:bCs w:val="0"/>
                <w:color w:val="000000"/>
                <w:kern w:val="0"/>
                <w:sz w:val="21"/>
                <w:szCs w:val="21"/>
                <w:lang w:val="en-US" w:bidi="zh-CN"/>
              </w:rPr>
              <w:t>1.法定来源。处方中存在药味无法定标准来源的，扣1分。</w:t>
            </w:r>
          </w:p>
          <w:p>
            <w:pPr>
              <w:pStyle w:val="6"/>
              <w:keepNext w:val="0"/>
              <w:keepLines w:val="0"/>
              <w:pageBreakBefore w:val="0"/>
              <w:kinsoku/>
              <w:wordWrap/>
              <w:overflowPunct/>
              <w:topLinePunct w:val="0"/>
              <w:bidi w:val="0"/>
              <w:adjustRightInd/>
              <w:snapToGrid/>
              <w:spacing w:line="360" w:lineRule="exact"/>
              <w:ind w:firstLine="560"/>
              <w:outlineLvl w:val="2"/>
              <w:rPr>
                <w:rFonts w:hint="eastAsia" w:ascii="宋体" w:hAnsi="宋体" w:eastAsia="宋体" w:cs="宋体"/>
                <w:b w:val="0"/>
                <w:bCs w:val="0"/>
                <w:color w:val="000000"/>
                <w:kern w:val="0"/>
                <w:sz w:val="21"/>
                <w:szCs w:val="21"/>
                <w:lang w:val="en-US" w:bidi="zh-CN"/>
              </w:rPr>
            </w:pPr>
            <w:r>
              <w:rPr>
                <w:rFonts w:hint="eastAsia" w:ascii="宋体" w:hAnsi="宋体" w:eastAsia="宋体" w:cs="宋体"/>
                <w:b w:val="0"/>
                <w:bCs w:val="0"/>
                <w:color w:val="000000"/>
                <w:kern w:val="0"/>
                <w:sz w:val="21"/>
                <w:szCs w:val="21"/>
                <w:lang w:val="en-US" w:bidi="zh-CN"/>
              </w:rPr>
              <w:t>2.毒性药味。处方中存在药材标准中标记有毒性及现代药理学证明有毒性的药味的，扣1分。</w:t>
            </w:r>
          </w:p>
          <w:p>
            <w:pPr>
              <w:pStyle w:val="6"/>
              <w:keepNext w:val="0"/>
              <w:keepLines w:val="0"/>
              <w:pageBreakBefore w:val="0"/>
              <w:kinsoku/>
              <w:wordWrap/>
              <w:overflowPunct/>
              <w:topLinePunct w:val="0"/>
              <w:bidi w:val="0"/>
              <w:adjustRightInd/>
              <w:snapToGrid/>
              <w:spacing w:line="360" w:lineRule="exact"/>
              <w:ind w:firstLine="420" w:firstLineChars="200"/>
              <w:outlineLvl w:val="2"/>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val="0"/>
                <w:bCs w:val="0"/>
                <w:color w:val="000000"/>
                <w:kern w:val="0"/>
                <w:sz w:val="21"/>
                <w:szCs w:val="21"/>
                <w:lang w:val="en-US" w:bidi="zh-CN"/>
              </w:rPr>
              <w:t>3.配伍禁忌。处方中</w:t>
            </w:r>
            <w:r>
              <w:rPr>
                <w:rFonts w:hint="eastAsia" w:ascii="宋体" w:hAnsi="宋体" w:eastAsia="宋体" w:cs="宋体"/>
                <w:b w:val="0"/>
                <w:bCs w:val="0"/>
                <w:color w:val="000000"/>
                <w:kern w:val="0"/>
                <w:sz w:val="21"/>
                <w:szCs w:val="21"/>
                <w:lang w:val="zh-CN" w:bidi="zh-CN"/>
              </w:rPr>
              <w:t>含有十八反、十九畏等配伍禁忌的，扣</w:t>
            </w:r>
            <w:r>
              <w:rPr>
                <w:rFonts w:hint="eastAsia" w:ascii="宋体" w:hAnsi="宋体" w:eastAsia="宋体" w:cs="宋体"/>
                <w:b w:val="0"/>
                <w:bCs w:val="0"/>
                <w:color w:val="000000"/>
                <w:kern w:val="0"/>
                <w:sz w:val="21"/>
                <w:szCs w:val="21"/>
                <w:lang w:val="en-US" w:bidi="zh-CN"/>
              </w:rPr>
              <w:t>1分</w:t>
            </w:r>
            <w:r>
              <w:rPr>
                <w:rFonts w:hint="eastAsia" w:ascii="宋体" w:hAnsi="宋体" w:eastAsia="宋体" w:cs="宋体"/>
                <w:color w:val="000000"/>
                <w:sz w:val="21"/>
                <w:szCs w:val="21"/>
                <w:lang w:eastAsia="zh-CN"/>
              </w:rPr>
              <w:t>。</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6"/>
              <w:keepNext w:val="0"/>
              <w:keepLines w:val="0"/>
              <w:pageBreakBefore w:val="0"/>
              <w:kinsoku/>
              <w:wordWrap/>
              <w:overflowPunct/>
              <w:topLinePunct w:val="0"/>
              <w:bidi w:val="0"/>
              <w:adjustRightInd/>
              <w:snapToGrid/>
              <w:spacing w:line="360" w:lineRule="exact"/>
              <w:ind w:firstLine="420" w:firstLineChars="200"/>
              <w:outlineLvl w:val="2"/>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90"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（2）规范开展不良反应监测，近5年内未发生严重不良反应，发生的新的不良反应发生比例低</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□有，□不良反应报告总结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2" w:firstLineChars="200"/>
              <w:jc w:val="left"/>
              <w:textAlignment w:val="center"/>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一</w:t>
            </w:r>
            <w:r>
              <w:rPr>
                <w:rFonts w:hint="eastAsia" w:ascii="宋体" w:hAnsi="宋体" w:eastAsia="宋体" w:cs="宋体"/>
                <w:b/>
                <w:bCs/>
                <w:color w:val="000000"/>
                <w:sz w:val="21"/>
                <w:szCs w:val="21"/>
                <w:lang w:val="en-US"/>
              </w:rPr>
              <w:t>、不良反应监测情况</w:t>
            </w:r>
            <w:r>
              <w:rPr>
                <w:rFonts w:hint="eastAsia" w:ascii="宋体" w:hAnsi="宋体" w:eastAsia="宋体" w:cs="宋体"/>
                <w:b/>
                <w:bCs/>
                <w:color w:val="000000"/>
                <w:sz w:val="21"/>
                <w:szCs w:val="21"/>
                <w:lang w:val="en-US" w:eastAsia="zh-CN"/>
              </w:rPr>
              <w:t>：总分3分：</w:t>
            </w:r>
            <w:r>
              <w:rPr>
                <w:rFonts w:hint="eastAsia" w:ascii="宋体" w:hAnsi="宋体" w:eastAsia="宋体" w:cs="宋体"/>
                <w:b w:val="0"/>
                <w:bCs w:val="0"/>
                <w:color w:val="000000"/>
                <w:sz w:val="21"/>
                <w:szCs w:val="21"/>
                <w:lang w:val="en-US" w:eastAsia="zh-CN"/>
              </w:rPr>
              <w:t>1.</w:t>
            </w:r>
            <w:r>
              <w:rPr>
                <w:rFonts w:hint="eastAsia" w:ascii="宋体" w:hAnsi="宋体" w:eastAsia="宋体" w:cs="宋体"/>
                <w:color w:val="000000"/>
                <w:sz w:val="21"/>
                <w:szCs w:val="21"/>
                <w:lang w:val="en-US" w:eastAsia="zh-CN"/>
              </w:rPr>
              <w:t>规范开展，3分；2.开展但不规范，2分；3.未开展，1分。</w:t>
            </w:r>
          </w:p>
          <w:p>
            <w:pPr>
              <w:pStyle w:val="7"/>
              <w:keepNext w:val="0"/>
              <w:keepLines w:val="0"/>
              <w:pageBreakBefore w:val="0"/>
              <w:kinsoku/>
              <w:wordWrap/>
              <w:overflowPunct/>
              <w:topLinePunct w:val="0"/>
              <w:autoSpaceDE/>
              <w:autoSpaceDN/>
              <w:bidi w:val="0"/>
              <w:adjustRightInd/>
              <w:snapToGrid/>
              <w:spacing w:line="360" w:lineRule="exact"/>
              <w:ind w:left="0" w:leftChars="0" w:right="0" w:rightChars="0" w:firstLine="422" w:firstLineChars="200"/>
              <w:rPr>
                <w:rFonts w:hint="eastAsia" w:ascii="宋体" w:hAnsi="宋体" w:eastAsia="宋体" w:cs="宋体"/>
                <w:i w:val="0"/>
                <w:color w:val="000000"/>
                <w:kern w:val="0"/>
                <w:sz w:val="21"/>
                <w:szCs w:val="21"/>
                <w:u w:val="none"/>
                <w:lang w:val="zh-CN" w:eastAsia="zh-CN" w:bidi="zh-CN"/>
              </w:rPr>
            </w:pPr>
            <w:r>
              <w:rPr>
                <w:rFonts w:hint="eastAsia" w:ascii="宋体" w:hAnsi="宋体" w:eastAsia="宋体" w:cs="宋体"/>
                <w:b/>
                <w:bCs/>
                <w:i w:val="0"/>
                <w:iCs w:val="0"/>
                <w:color w:val="000000"/>
                <w:kern w:val="0"/>
                <w:sz w:val="21"/>
                <w:szCs w:val="21"/>
                <w:u w:val="none"/>
                <w:lang w:val="en-US" w:eastAsia="zh-CN" w:bidi="ar"/>
              </w:rPr>
              <w:t>二</w:t>
            </w:r>
            <w:r>
              <w:rPr>
                <w:rFonts w:hint="eastAsia" w:ascii="宋体" w:hAnsi="宋体" w:eastAsia="宋体" w:cs="宋体"/>
                <w:b/>
                <w:bCs/>
                <w:color w:val="000000"/>
                <w:kern w:val="0"/>
                <w:sz w:val="21"/>
                <w:szCs w:val="21"/>
                <w:lang w:val="en-US" w:bidi="zh-CN"/>
              </w:rPr>
              <w:t>、不良反应发生情况</w:t>
            </w:r>
            <w:r>
              <w:rPr>
                <w:rFonts w:hint="eastAsia" w:eastAsia="宋体" w:cs="宋体"/>
                <w:b/>
                <w:bCs/>
                <w:color w:val="000000"/>
                <w:kern w:val="0"/>
                <w:sz w:val="21"/>
                <w:szCs w:val="21"/>
                <w:lang w:val="en-US" w:bidi="zh-CN"/>
              </w:rPr>
              <w:t>：</w:t>
            </w:r>
            <w:r>
              <w:rPr>
                <w:rFonts w:hint="eastAsia" w:ascii="宋体" w:hAnsi="宋体" w:eastAsia="宋体" w:cs="宋体"/>
                <w:b/>
                <w:bCs/>
                <w:color w:val="000000"/>
                <w:kern w:val="0"/>
                <w:sz w:val="21"/>
                <w:szCs w:val="21"/>
                <w:lang w:val="en-US" w:bidi="zh-CN"/>
              </w:rPr>
              <w:t>总分2分：</w:t>
            </w:r>
            <w:r>
              <w:rPr>
                <w:rFonts w:hint="eastAsia" w:ascii="宋体" w:hAnsi="宋体" w:eastAsia="宋体" w:cs="宋体"/>
                <w:b w:val="0"/>
                <w:bCs w:val="0"/>
                <w:color w:val="000000"/>
                <w:kern w:val="0"/>
                <w:sz w:val="21"/>
                <w:szCs w:val="21"/>
                <w:lang w:val="en-US" w:bidi="zh-CN"/>
              </w:rPr>
              <w:t>1.近5年未发生不符合预期的不良反应</w:t>
            </w:r>
            <w:r>
              <w:rPr>
                <w:rFonts w:hint="eastAsia" w:eastAsia="宋体" w:cs="宋体"/>
                <w:b w:val="0"/>
                <w:bCs w:val="0"/>
                <w:color w:val="000000"/>
                <w:kern w:val="0"/>
                <w:sz w:val="21"/>
                <w:szCs w:val="21"/>
                <w:lang w:val="en-US" w:bidi="zh-CN"/>
              </w:rPr>
              <w:t>，</w:t>
            </w:r>
            <w:r>
              <w:rPr>
                <w:rFonts w:hint="eastAsia" w:ascii="宋体" w:hAnsi="宋体" w:eastAsia="宋体" w:cs="宋体"/>
                <w:b w:val="0"/>
                <w:bCs w:val="0"/>
                <w:color w:val="000000"/>
                <w:kern w:val="0"/>
                <w:sz w:val="21"/>
                <w:szCs w:val="21"/>
                <w:lang w:val="en-US" w:bidi="zh-CN"/>
              </w:rPr>
              <w:t>2分；2.近5年曾发生</w:t>
            </w:r>
            <w:r>
              <w:rPr>
                <w:rFonts w:hint="eastAsia" w:eastAsia="宋体" w:cs="宋体"/>
                <w:b w:val="0"/>
                <w:bCs w:val="0"/>
                <w:color w:val="000000"/>
                <w:kern w:val="0"/>
                <w:sz w:val="21"/>
                <w:szCs w:val="21"/>
                <w:lang w:val="en-US" w:bidi="zh-CN"/>
              </w:rPr>
              <w:t>新</w:t>
            </w:r>
            <w:r>
              <w:rPr>
                <w:rFonts w:hint="eastAsia" w:ascii="宋体" w:hAnsi="宋体" w:eastAsia="宋体" w:cs="宋体"/>
                <w:b w:val="0"/>
                <w:bCs w:val="0"/>
                <w:color w:val="000000"/>
                <w:kern w:val="0"/>
                <w:sz w:val="21"/>
                <w:szCs w:val="21"/>
                <w:lang w:val="en-US" w:bidi="zh-CN"/>
              </w:rPr>
              <w:t>的不良反应</w:t>
            </w:r>
            <w:r>
              <w:rPr>
                <w:rFonts w:hint="eastAsia" w:eastAsia="宋体" w:cs="宋体"/>
                <w:b w:val="0"/>
                <w:bCs w:val="0"/>
                <w:color w:val="000000"/>
                <w:kern w:val="0"/>
                <w:sz w:val="21"/>
                <w:szCs w:val="21"/>
                <w:lang w:val="en-US" w:bidi="zh-CN"/>
              </w:rPr>
              <w:t>，</w:t>
            </w:r>
            <w:r>
              <w:rPr>
                <w:rFonts w:hint="eastAsia" w:ascii="宋体" w:hAnsi="宋体" w:eastAsia="宋体" w:cs="宋体"/>
                <w:b w:val="0"/>
                <w:bCs w:val="0"/>
                <w:color w:val="000000"/>
                <w:kern w:val="0"/>
                <w:sz w:val="21"/>
                <w:szCs w:val="21"/>
                <w:lang w:val="en-US" w:bidi="zh-CN"/>
              </w:rPr>
              <w:t>0-1分。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autoSpaceDE/>
              <w:autoSpaceDN/>
              <w:bidi w:val="0"/>
              <w:adjustRightInd/>
              <w:snapToGrid/>
              <w:spacing w:line="360" w:lineRule="exact"/>
              <w:ind w:left="0" w:leftChars="0" w:right="0" w:rightChars="0" w:firstLine="420" w:firstLineChars="200"/>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90"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（3）标签及说明书的安全信息（如禁忌证、注意事项、特殊人群用药等）合理完整，内容与省药品监管部门批准一致</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□有，□标签说明书样稿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□质量标准</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u w:val="none"/>
                <w:lang w:val="en-US" w:eastAsia="zh-CN" w:bidi="ar"/>
              </w:rPr>
              <w:t>标签及说明书：</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val="zh-CN"/>
              </w:rPr>
              <w:t>有明确列明安全信息的，</w:t>
            </w:r>
            <w:r>
              <w:rPr>
                <w:rFonts w:hint="eastAsia" w:ascii="宋体" w:hAnsi="宋体" w:eastAsia="宋体" w:cs="宋体"/>
                <w:color w:val="000000"/>
                <w:sz w:val="21"/>
                <w:szCs w:val="21"/>
                <w:lang w:val="en-US" w:eastAsia="zh-CN"/>
              </w:rPr>
              <w:t>2-5分；2.相关内容表述为暂不明确的，0-1分。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0" w:firstLineChars="200"/>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trHeight w:val="1777"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（4）曾进行临床或非临床安全性和有效性观察或研究</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□有，□论文清单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□课题清单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□研究报告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color w:val="000000"/>
                <w:sz w:val="21"/>
                <w:szCs w:val="21"/>
              </w:rPr>
              <w:t>安全性和有效性观察或研究</w:t>
            </w:r>
            <w:r>
              <w:rPr>
                <w:rFonts w:hint="eastAsia" w:ascii="宋体" w:hAnsi="宋体" w:eastAsia="宋体" w:cs="宋体"/>
                <w:b/>
                <w:bCs/>
                <w:color w:val="000000"/>
                <w:sz w:val="21"/>
                <w:szCs w:val="21"/>
                <w:lang w:val="en-US" w:eastAsia="zh-CN"/>
              </w:rPr>
              <w:t>开展情况</w:t>
            </w:r>
            <w:r>
              <w:rPr>
                <w:rFonts w:hint="eastAsia" w:ascii="宋体" w:hAnsi="宋体" w:eastAsia="宋体" w:cs="宋体"/>
                <w:b w:val="0"/>
                <w:bCs w:val="0"/>
                <w:color w:val="000000"/>
                <w:sz w:val="21"/>
                <w:szCs w:val="21"/>
                <w:lang w:val="en-US" w:eastAsia="zh-CN"/>
              </w:rPr>
              <w:t>：</w:t>
            </w:r>
            <w:r>
              <w:rPr>
                <w:rFonts w:hint="eastAsia" w:ascii="宋体" w:hAnsi="宋体" w:eastAsia="宋体" w:cs="宋体"/>
                <w:color w:val="000000"/>
                <w:sz w:val="21"/>
                <w:szCs w:val="21"/>
                <w:lang w:val="en-US" w:eastAsia="zh-CN"/>
              </w:rPr>
              <w:t>1.</w:t>
            </w:r>
            <w:r>
              <w:rPr>
                <w:rFonts w:hint="eastAsia" w:ascii="宋体" w:hAnsi="宋体" w:eastAsia="宋体" w:cs="宋体"/>
                <w:b w:val="0"/>
                <w:bCs w:val="0"/>
                <w:i w:val="0"/>
                <w:iCs w:val="0"/>
                <w:color w:val="000000"/>
                <w:kern w:val="0"/>
                <w:sz w:val="21"/>
                <w:szCs w:val="21"/>
                <w:u w:val="none"/>
                <w:lang w:val="en-US" w:eastAsia="zh-CN" w:bidi="ar"/>
              </w:rPr>
              <w:t>临床和非临床均开展，4-5分；2.仅开展临床或非临床，1-3分；3.未开展，0分</w:t>
            </w:r>
            <w:r>
              <w:rPr>
                <w:rFonts w:hint="eastAsia" w:ascii="宋体" w:hAnsi="宋体" w:eastAsia="宋体" w:cs="宋体"/>
                <w:color w:val="000000"/>
                <w:sz w:val="21"/>
                <w:szCs w:val="21"/>
                <w:lang w:eastAsia="zh-CN"/>
              </w:rPr>
              <w:t>。</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0" w:firstLineChars="200"/>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（5）配制工艺路线合理，并与大生产相关设备能顺利对接，具有实现大规模生产的可行性</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□有，□制法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□工艺流程图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0" w:firstLineChars="200"/>
              <w:jc w:val="left"/>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该品种1.配制工艺适应产业化生产，2分；2.已有成熟的生产设备，2分；3.便于快速提升产能，1分。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（6）质量标准合理，应符合现行法律法规、标准、指导原则等规定</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□有，□质量标准  </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□自检报告   </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□第三方检测机构报告</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按指标要求，根据综合情况</w:t>
            </w:r>
            <w:r>
              <w:rPr>
                <w:rFonts w:hint="eastAsia" w:ascii="宋体" w:hAnsi="宋体" w:eastAsia="宋体" w:cs="宋体"/>
                <w:b w:val="0"/>
                <w:bCs w:val="0"/>
                <w:i w:val="0"/>
                <w:iCs w:val="0"/>
                <w:color w:val="000000"/>
                <w:kern w:val="0"/>
                <w:sz w:val="21"/>
                <w:szCs w:val="21"/>
                <w:u w:val="none"/>
                <w:lang w:eastAsia="zh-CN" w:bidi="ar"/>
              </w:rPr>
              <w:t>评</w:t>
            </w:r>
            <w:r>
              <w:rPr>
                <w:rFonts w:hint="eastAsia" w:ascii="宋体" w:hAnsi="宋体" w:eastAsia="宋体" w:cs="宋体"/>
                <w:b w:val="0"/>
                <w:bCs w:val="0"/>
                <w:i w:val="0"/>
                <w:iCs w:val="0"/>
                <w:color w:val="000000"/>
                <w:kern w:val="0"/>
                <w:sz w:val="21"/>
                <w:szCs w:val="21"/>
                <w:u w:val="none"/>
                <w:lang w:val="en-US" w:eastAsia="zh-CN" w:bidi="ar"/>
              </w:rPr>
              <w:t>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（7）药材基原明确，饮片有法定标准来源</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 □法定标准</w:t>
            </w:r>
          </w:p>
          <w:p>
            <w:pPr>
              <w:keepNext w:val="0"/>
              <w:keepLines w:val="0"/>
              <w:pageBreakBefore w:val="0"/>
              <w:widowControl/>
              <w:suppressLineNumbers w:val="0"/>
              <w:kinsoku/>
              <w:wordWrap/>
              <w:overflowPunct/>
              <w:topLinePunct w:val="0"/>
              <w:autoSpaceDE/>
              <w:autoSpaceDN/>
              <w:bidi w:val="0"/>
              <w:adjustRightInd/>
              <w:snapToGrid/>
              <w:spacing w:line="360" w:lineRule="exact"/>
              <w:ind w:firstLine="630" w:firstLineChars="3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□其他：</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按指标要求，根据综合情况</w:t>
            </w:r>
            <w:r>
              <w:rPr>
                <w:rFonts w:hint="eastAsia" w:ascii="宋体" w:hAnsi="宋体" w:eastAsia="宋体" w:cs="宋体"/>
                <w:b w:val="0"/>
                <w:bCs w:val="0"/>
                <w:i w:val="0"/>
                <w:iCs w:val="0"/>
                <w:color w:val="000000"/>
                <w:kern w:val="0"/>
                <w:sz w:val="21"/>
                <w:szCs w:val="21"/>
                <w:u w:val="none"/>
                <w:lang w:eastAsia="zh-CN" w:bidi="ar"/>
              </w:rPr>
              <w:t>评</w:t>
            </w:r>
            <w:r>
              <w:rPr>
                <w:rFonts w:hint="eastAsia" w:ascii="宋体" w:hAnsi="宋体" w:eastAsia="宋体" w:cs="宋体"/>
                <w:b w:val="0"/>
                <w:bCs w:val="0"/>
                <w:i w:val="0"/>
                <w:iCs w:val="0"/>
                <w:color w:val="000000"/>
                <w:kern w:val="0"/>
                <w:sz w:val="21"/>
                <w:szCs w:val="21"/>
                <w:u w:val="none"/>
                <w:lang w:val="en-US" w:eastAsia="zh-CN" w:bidi="ar"/>
              </w:rPr>
              <w:t>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90"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（8）使用道地药材，处方药味资源可及</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□有，□供应商销售凭证 </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□道地药材在处方中的君臣佐使作用</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□资源可及性分析报告 </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leftChars="300" w:hanging="210" w:hangingChars="1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420" w:firstLineChars="200"/>
              <w:jc w:val="left"/>
              <w:textAlignment w:val="center"/>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使用/部分使用/未使用道地药材，并结合药味为君/臣/佐/使、药味资源可及情况综合评分。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bidi w:val="0"/>
              <w:adjustRightInd/>
              <w:snapToGrid/>
              <w:spacing w:line="360" w:lineRule="exact"/>
              <w:ind w:firstLine="0" w:firstLineChars="0"/>
              <w:jc w:val="left"/>
              <w:textAlignment w:val="center"/>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加分项：</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新药转化评价</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Style w:val="9"/>
                <w:rFonts w:hint="eastAsia" w:ascii="宋体" w:hAnsi="宋体" w:eastAsia="宋体" w:cs="宋体"/>
                <w:b/>
                <w:bCs w:val="0"/>
                <w:color w:val="000000"/>
                <w:sz w:val="21"/>
                <w:szCs w:val="21"/>
                <w:lang w:val="en-US" w:eastAsia="zh-CN" w:bidi="ar"/>
              </w:rPr>
            </w:pPr>
            <w:r>
              <w:rPr>
                <w:rFonts w:hint="eastAsia" w:ascii="宋体" w:hAnsi="宋体" w:eastAsia="宋体" w:cs="宋体"/>
                <w:b/>
                <w:bCs w:val="0"/>
                <w:i w:val="0"/>
                <w:color w:val="000000"/>
                <w:kern w:val="0"/>
                <w:sz w:val="21"/>
                <w:szCs w:val="21"/>
                <w:u w:val="none"/>
                <w:lang w:val="en-US" w:eastAsia="zh-CN" w:bidi="ar"/>
              </w:rPr>
              <w:t>（18分）</w:t>
            </w:r>
            <w:r>
              <w:rPr>
                <w:rStyle w:val="9"/>
                <w:rFonts w:hint="eastAsia" w:ascii="宋体" w:hAnsi="宋体" w:eastAsia="宋体" w:cs="宋体"/>
                <w:b/>
                <w:bCs w:val="0"/>
                <w:color w:val="000000"/>
                <w:sz w:val="21"/>
                <w:szCs w:val="21"/>
                <w:lang w:val="en-US" w:eastAsia="zh-CN" w:bidi="ar"/>
              </w:rPr>
              <w:t>备注：该项总得分不超过10分</w:t>
            </w:r>
          </w:p>
          <w:p>
            <w:pPr>
              <w:pStyle w:val="7"/>
              <w:keepNext w:val="0"/>
              <w:keepLines w:val="0"/>
              <w:pageBreakBefore w:val="0"/>
              <w:kinsoku/>
              <w:wordWrap/>
              <w:overflowPunct/>
              <w:topLinePunct w:val="0"/>
              <w:bidi w:val="0"/>
              <w:adjustRightInd/>
              <w:snapToGrid/>
              <w:spacing w:line="360" w:lineRule="exact"/>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加分项：</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kern w:val="0"/>
                <w:sz w:val="21"/>
                <w:szCs w:val="21"/>
                <w:u w:val="none"/>
                <w:lang w:val="en-US" w:eastAsia="zh-CN" w:bidi="ar"/>
              </w:rPr>
            </w:pPr>
            <w:r>
              <w:rPr>
                <w:rFonts w:hint="eastAsia" w:ascii="宋体" w:hAnsi="宋体" w:eastAsia="宋体" w:cs="宋体"/>
                <w:b/>
                <w:bCs w:val="0"/>
                <w:i w:val="0"/>
                <w:color w:val="000000"/>
                <w:kern w:val="0"/>
                <w:sz w:val="21"/>
                <w:szCs w:val="21"/>
                <w:u w:val="none"/>
                <w:lang w:val="en-US" w:eastAsia="zh-CN" w:bidi="ar"/>
              </w:rPr>
              <w:t>新药转化评价</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b/>
                <w:bCs w:val="0"/>
                <w:i w:val="0"/>
                <w:color w:val="000000"/>
                <w:kern w:val="0"/>
                <w:sz w:val="21"/>
                <w:szCs w:val="21"/>
                <w:u w:val="none"/>
                <w:lang w:val="en-US" w:eastAsia="zh-CN" w:bidi="ar"/>
              </w:rPr>
              <w:t>（18分）</w:t>
            </w:r>
            <w:r>
              <w:rPr>
                <w:rStyle w:val="9"/>
                <w:rFonts w:hint="eastAsia" w:ascii="宋体" w:hAnsi="宋体" w:eastAsia="宋体" w:cs="宋体"/>
                <w:b/>
                <w:bCs w:val="0"/>
                <w:color w:val="000000"/>
                <w:sz w:val="21"/>
                <w:szCs w:val="21"/>
                <w:lang w:val="en-US" w:eastAsia="zh-CN" w:bidi="ar"/>
              </w:rPr>
              <w:t>备注：该项总得分不超过10分</w:t>
            </w: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（1）已入选广东省医保药品目录</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3</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840" w:hanging="840" w:hangingChars="4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□有，□医保目录等相关证明</w:t>
            </w:r>
          </w:p>
          <w:p>
            <w:pPr>
              <w:keepNext w:val="0"/>
              <w:keepLines w:val="0"/>
              <w:pageBreakBefore w:val="0"/>
              <w:widowControl/>
              <w:suppressLineNumbers w:val="0"/>
              <w:kinsoku/>
              <w:wordWrap/>
              <w:overflowPunct/>
              <w:topLinePunct w:val="0"/>
              <w:autoSpaceDE/>
              <w:autoSpaceDN/>
              <w:bidi w:val="0"/>
              <w:adjustRightInd/>
              <w:snapToGrid/>
              <w:spacing w:line="360" w:lineRule="exact"/>
              <w:ind w:left="840" w:hanging="840" w:hangingChars="400"/>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kern w:val="2"/>
                <w:sz w:val="21"/>
                <w:szCs w:val="21"/>
                <w:u w:val="none"/>
                <w:lang w:val="en-US" w:eastAsia="zh-CN" w:bidi="ar-SA"/>
              </w:rPr>
            </w:pP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283"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（2）近5年内已取得药物临床试验批件</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  □无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kern w:val="2"/>
                <w:sz w:val="21"/>
                <w:szCs w:val="21"/>
                <w:u w:val="none"/>
                <w:lang w:val="en-US" w:eastAsia="zh-CN" w:bidi="ar-SA"/>
              </w:rPr>
            </w:pP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1445"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（3）申报单位已获得处方组方、工艺发明专利；或有相关资料支撑其为申报单位独家拥有且产权清晰的产品（如出具产权承诺函、查新报告等）</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630" w:hanging="630" w:hangingChars="30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□有，□专利证书</w:t>
            </w:r>
            <w:r>
              <w:rPr>
                <w:rFonts w:hint="eastAsia" w:ascii="宋体" w:hAnsi="宋体" w:eastAsia="宋体" w:cs="宋体"/>
                <w:i w:val="0"/>
                <w:color w:val="000000"/>
                <w:kern w:val="0"/>
                <w:sz w:val="21"/>
                <w:szCs w:val="21"/>
                <w:u w:val="none"/>
                <w:lang w:val="en-US" w:eastAsia="zh-CN" w:bidi="ar"/>
              </w:rPr>
              <w:br w:type="textWrapping"/>
            </w:r>
            <w:r>
              <w:rPr>
                <w:rFonts w:hint="eastAsia" w:ascii="宋体" w:hAnsi="宋体" w:eastAsia="宋体" w:cs="宋体"/>
                <w:i w:val="0"/>
                <w:color w:val="000000"/>
                <w:kern w:val="0"/>
                <w:sz w:val="21"/>
                <w:szCs w:val="21"/>
                <w:u w:val="none"/>
                <w:lang w:val="en-US" w:eastAsia="zh-CN" w:bidi="ar"/>
              </w:rPr>
              <w:t xml:space="preserve">□已发表的科研论文、课题情况  </w:t>
            </w:r>
          </w:p>
          <w:p>
            <w:pPr>
              <w:keepNext w:val="0"/>
              <w:keepLines w:val="0"/>
              <w:pageBreakBefore w:val="0"/>
              <w:widowControl/>
              <w:suppressLineNumbers w:val="0"/>
              <w:kinsoku/>
              <w:wordWrap/>
              <w:overflowPunct/>
              <w:topLinePunct w:val="0"/>
              <w:autoSpaceDE/>
              <w:autoSpaceDN/>
              <w:bidi w:val="0"/>
              <w:adjustRightInd/>
              <w:snapToGrid/>
              <w:spacing w:line="360" w:lineRule="exact"/>
              <w:ind w:left="630" w:leftChars="300" w:firstLine="0" w:firstLineChars="0"/>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□其他：</w:t>
            </w:r>
          </w:p>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iCs w:val="0"/>
                <w:color w:val="000000"/>
                <w:kern w:val="2"/>
                <w:sz w:val="21"/>
                <w:szCs w:val="21"/>
                <w:u w:val="none"/>
                <w:lang w:val="en-US" w:eastAsia="zh-CN" w:bidi="ar-SA"/>
              </w:rPr>
            </w:pP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left"/>
              <w:rPr>
                <w:rFonts w:hint="eastAsia" w:ascii="宋体" w:hAnsi="宋体" w:eastAsia="宋体" w:cs="宋体"/>
                <w:i w:val="0"/>
                <w:iCs w:val="0"/>
                <w:color w:val="000000"/>
                <w:kern w:val="2"/>
                <w:sz w:val="21"/>
                <w:szCs w:val="21"/>
                <w:u w:val="none"/>
                <w:lang w:val="en-US" w:eastAsia="zh-CN" w:bidi="ar-SA"/>
              </w:rPr>
            </w:pPr>
          </w:p>
        </w:tc>
      </w:tr>
      <w:tr>
        <w:tblPrEx>
          <w:tblCellMar>
            <w:top w:w="0" w:type="dxa"/>
            <w:left w:w="0" w:type="dxa"/>
            <w:bottom w:w="0" w:type="dxa"/>
            <w:right w:w="0" w:type="dxa"/>
          </w:tblCellMar>
        </w:tblPrEx>
        <w:trPr>
          <w:cantSplit/>
          <w:trHeight w:val="766"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outlineLvl w:val="9"/>
              <w:rPr>
                <w:rFonts w:hint="eastAsia" w:ascii="宋体" w:hAnsi="宋体" w:eastAsia="宋体" w:cs="宋体"/>
                <w:b/>
                <w:bCs w:val="0"/>
                <w:i w:val="0"/>
                <w:color w:val="000000"/>
                <w:sz w:val="21"/>
                <w:szCs w:val="21"/>
                <w:u w:val="none"/>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Style w:val="10"/>
                <w:rFonts w:hint="eastAsia" w:ascii="宋体" w:hAnsi="宋体" w:eastAsia="宋体" w:cs="宋体"/>
                <w:color w:val="000000"/>
                <w:sz w:val="21"/>
                <w:szCs w:val="21"/>
                <w:lang w:bidi="ar"/>
              </w:rPr>
              <w:t>（4）获得</w:t>
            </w:r>
            <w:r>
              <w:rPr>
                <w:rFonts w:hint="eastAsia" w:ascii="宋体" w:hAnsi="宋体" w:eastAsia="宋体" w:cs="宋体"/>
                <w:color w:val="000000"/>
                <w:kern w:val="2"/>
                <w:sz w:val="21"/>
                <w:szCs w:val="21"/>
                <w:vertAlign w:val="baseline"/>
                <w:lang w:val="en-US" w:eastAsia="zh-CN" w:bidi="ar-SA"/>
              </w:rPr>
              <w:t>国家级或国家各部委科技成果类奖项三等奖及以上的</w:t>
            </w:r>
          </w:p>
        </w:tc>
        <w:tc>
          <w:tcPr>
            <w:tcW w:w="97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outlineLvl w:val="9"/>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5</w:t>
            </w:r>
          </w:p>
        </w:tc>
        <w:tc>
          <w:tcPr>
            <w:tcW w:w="2592"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□有  □无</w:t>
            </w:r>
          </w:p>
        </w:tc>
        <w:tc>
          <w:tcPr>
            <w:tcW w:w="3439"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2" w:firstLineChars="200"/>
              <w:jc w:val="center"/>
              <w:rPr>
                <w:rFonts w:hint="eastAsia" w:ascii="宋体" w:hAnsi="宋体" w:eastAsia="宋体" w:cs="宋体"/>
                <w:b w:val="0"/>
                <w:bCs w:val="0"/>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一、国家级：</w:t>
            </w:r>
            <w:r>
              <w:rPr>
                <w:rFonts w:hint="eastAsia" w:ascii="宋体" w:hAnsi="宋体" w:eastAsia="宋体" w:cs="宋体"/>
                <w:b w:val="0"/>
                <w:bCs w:val="0"/>
                <w:i w:val="0"/>
                <w:iCs w:val="0"/>
                <w:color w:val="000000"/>
                <w:kern w:val="0"/>
                <w:sz w:val="21"/>
                <w:szCs w:val="21"/>
                <w:highlight w:val="none"/>
                <w:u w:val="none"/>
                <w:lang w:val="en-US" w:eastAsia="zh-CN" w:bidi="ar"/>
              </w:rPr>
              <w:t>1.一等奖，5分；2.二等奖，4分；3.三等奖，3分。</w:t>
            </w:r>
          </w:p>
          <w:p>
            <w:pPr>
              <w:keepNext w:val="0"/>
              <w:keepLines w:val="0"/>
              <w:pageBreakBefore w:val="0"/>
              <w:kinsoku/>
              <w:wordWrap/>
              <w:overflowPunct/>
              <w:topLinePunct w:val="0"/>
              <w:bidi w:val="0"/>
              <w:adjustRightInd/>
              <w:snapToGrid/>
              <w:spacing w:line="360" w:lineRule="exact"/>
              <w:ind w:firstLine="422" w:firstLineChars="200"/>
              <w:jc w:val="left"/>
              <w:rPr>
                <w:rFonts w:hint="eastAsia" w:ascii="宋体" w:hAnsi="宋体" w:eastAsia="宋体" w:cs="宋体"/>
                <w:i w:val="0"/>
                <w:color w:val="000000"/>
                <w:kern w:val="2"/>
                <w:sz w:val="21"/>
                <w:szCs w:val="21"/>
                <w:u w:val="none"/>
                <w:lang w:val="en-US" w:eastAsia="zh-CN" w:bidi="ar-SA"/>
              </w:rPr>
            </w:pPr>
            <w:r>
              <w:rPr>
                <w:rFonts w:hint="eastAsia" w:ascii="宋体" w:hAnsi="宋体" w:eastAsia="宋体" w:cs="宋体"/>
                <w:b/>
                <w:bCs/>
                <w:i w:val="0"/>
                <w:iCs w:val="0"/>
                <w:color w:val="000000"/>
                <w:kern w:val="0"/>
                <w:sz w:val="21"/>
                <w:szCs w:val="21"/>
                <w:highlight w:val="none"/>
                <w:u w:val="none"/>
                <w:lang w:val="en-US" w:eastAsia="zh-CN" w:bidi="ar"/>
              </w:rPr>
              <w:t>二、部委级：</w:t>
            </w:r>
            <w:r>
              <w:rPr>
                <w:rFonts w:hint="eastAsia" w:ascii="宋体" w:hAnsi="宋体" w:eastAsia="宋体" w:cs="宋体"/>
                <w:b w:val="0"/>
                <w:bCs w:val="0"/>
                <w:i w:val="0"/>
                <w:iCs w:val="0"/>
                <w:color w:val="000000"/>
                <w:kern w:val="0"/>
                <w:sz w:val="21"/>
                <w:szCs w:val="21"/>
                <w:highlight w:val="none"/>
                <w:u w:val="none"/>
                <w:lang w:val="en-US" w:eastAsia="zh-CN" w:bidi="ar"/>
              </w:rPr>
              <w:t>3分。</w:t>
            </w:r>
          </w:p>
        </w:tc>
        <w:tc>
          <w:tcPr>
            <w:tcW w:w="1721" w:type="dxa"/>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ind w:firstLine="420" w:firstLineChars="200"/>
              <w:jc w:val="left"/>
              <w:rPr>
                <w:rFonts w:hint="eastAsia" w:ascii="宋体" w:hAnsi="宋体" w:eastAsia="宋体" w:cs="宋体"/>
                <w:i w:val="0"/>
                <w:color w:val="000000"/>
                <w:sz w:val="21"/>
                <w:szCs w:val="21"/>
                <w:u w:val="none"/>
              </w:rPr>
            </w:pPr>
          </w:p>
        </w:tc>
      </w:tr>
      <w:tr>
        <w:tblPrEx>
          <w:tblCellMar>
            <w:top w:w="0" w:type="dxa"/>
            <w:left w:w="0" w:type="dxa"/>
            <w:bottom w:w="0" w:type="dxa"/>
            <w:right w:w="0" w:type="dxa"/>
          </w:tblCellMar>
        </w:tblPrEx>
        <w:trPr>
          <w:cantSplit/>
          <w:trHeight w:val="90" w:hRule="atLeast"/>
          <w:jc w:val="center"/>
        </w:trPr>
        <w:tc>
          <w:tcPr>
            <w:tcW w:w="2190"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ind w:firstLine="442" w:firstLineChars="200"/>
              <w:jc w:val="both"/>
              <w:rPr>
                <w:rFonts w:hint="eastAsia" w:ascii="宋体" w:hAnsi="宋体" w:eastAsia="宋体" w:cs="宋体"/>
                <w:b/>
                <w:bCs/>
                <w:color w:val="000000"/>
                <w:sz w:val="22"/>
                <w:szCs w:val="22"/>
                <w:lang w:val="en-US" w:eastAsia="zh-CN"/>
              </w:rPr>
            </w:pPr>
            <w:r>
              <w:rPr>
                <w:rFonts w:hint="eastAsia" w:ascii="宋体" w:hAnsi="宋体" w:eastAsia="宋体" w:cs="宋体"/>
                <w:b/>
                <w:bCs/>
                <w:color w:val="000000"/>
                <w:sz w:val="22"/>
                <w:szCs w:val="22"/>
                <w:lang w:val="en-US" w:eastAsia="zh-CN"/>
              </w:rPr>
              <w:t>一级指标评分</w:t>
            </w: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r>
              <w:rPr>
                <w:rFonts w:hint="eastAsia" w:ascii="宋体" w:hAnsi="宋体" w:eastAsia="宋体" w:cs="宋体"/>
                <w:b/>
                <w:bCs/>
                <w:color w:val="000000"/>
                <w:sz w:val="22"/>
                <w:szCs w:val="22"/>
                <w:lang w:val="en-US" w:eastAsia="zh-CN"/>
              </w:rPr>
              <w:t>合计</w:t>
            </w: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right="0" w:rightChars="0"/>
              <w:jc w:val="center"/>
              <w:rPr>
                <w:rFonts w:hint="default"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一、中医临床评价</w:t>
            </w:r>
            <w:r>
              <w:rPr>
                <w:rFonts w:hint="eastAsia" w:eastAsia="宋体" w:cs="宋体"/>
                <w:b w:val="0"/>
                <w:bCs w:val="0"/>
                <w:color w:val="000000"/>
                <w:sz w:val="22"/>
                <w:szCs w:val="22"/>
                <w:lang w:val="en-US" w:eastAsia="zh-CN"/>
              </w:rPr>
              <w:t>（满分60分）</w:t>
            </w:r>
          </w:p>
        </w:tc>
        <w:tc>
          <w:tcPr>
            <w:tcW w:w="3564"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kinsoku/>
              <w:wordWrap/>
              <w:overflowPunct/>
              <w:topLinePunct w:val="0"/>
              <w:bidi w:val="0"/>
              <w:adjustRightInd/>
              <w:snapToGrid/>
              <w:spacing w:line="360" w:lineRule="exact"/>
              <w:jc w:val="both"/>
              <w:rPr>
                <w:rFonts w:hint="default"/>
                <w:b w:val="0"/>
                <w:bCs w:val="0"/>
                <w:lang w:val="en-US" w:eastAsia="zh-CN"/>
              </w:rPr>
            </w:pPr>
          </w:p>
        </w:tc>
        <w:tc>
          <w:tcPr>
            <w:tcW w:w="3439" w:type="dxa"/>
            <w:gridSpan w:val="2"/>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r>
              <w:rPr>
                <w:rFonts w:hint="eastAsia" w:eastAsia="宋体" w:cs="宋体"/>
                <w:b/>
                <w:bCs/>
                <w:color w:val="000000"/>
                <w:sz w:val="22"/>
                <w:szCs w:val="22"/>
                <w:lang w:val="en-US" w:eastAsia="zh-CN"/>
              </w:rPr>
              <w:t>总</w:t>
            </w:r>
            <w:r>
              <w:rPr>
                <w:rFonts w:hint="eastAsia" w:ascii="宋体" w:hAnsi="宋体" w:eastAsia="宋体" w:cs="宋体"/>
                <w:b/>
                <w:bCs/>
                <w:color w:val="000000"/>
                <w:sz w:val="22"/>
                <w:szCs w:val="22"/>
                <w:lang w:val="en-US" w:eastAsia="zh-CN"/>
              </w:rPr>
              <w:t>分</w:t>
            </w:r>
          </w:p>
        </w:tc>
        <w:tc>
          <w:tcPr>
            <w:tcW w:w="1721" w:type="dxa"/>
            <w:vMerge w:val="restart"/>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p>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p>
          <w:p>
            <w:pPr>
              <w:pStyle w:val="7"/>
              <w:keepNext w:val="0"/>
              <w:keepLines w:val="0"/>
              <w:pageBreakBefore w:val="0"/>
              <w:numPr>
                <w:ilvl w:val="0"/>
                <w:numId w:val="0"/>
              </w:numPr>
              <w:tabs>
                <w:tab w:val="left" w:pos="3287"/>
              </w:tabs>
              <w:kinsoku/>
              <w:wordWrap/>
              <w:overflowPunct/>
              <w:topLinePunct w:val="0"/>
              <w:bidi w:val="0"/>
              <w:adjustRightInd/>
              <w:snapToGrid/>
              <w:spacing w:line="360" w:lineRule="exact"/>
              <w:ind w:right="0" w:rightChars="0"/>
              <w:jc w:val="left"/>
              <w:rPr>
                <w:rFonts w:hint="default" w:ascii="宋体" w:hAnsi="宋体" w:eastAsia="宋体" w:cs="宋体"/>
                <w:b w:val="0"/>
                <w:bCs w:val="0"/>
                <w:color w:val="000000"/>
                <w:sz w:val="22"/>
                <w:szCs w:val="22"/>
                <w:lang w:val="en-US" w:eastAsia="zh-CN"/>
              </w:rPr>
            </w:pPr>
          </w:p>
        </w:tc>
      </w:tr>
      <w:tr>
        <w:tblPrEx>
          <w:tblCellMar>
            <w:top w:w="0" w:type="dxa"/>
            <w:left w:w="0" w:type="dxa"/>
            <w:bottom w:w="0" w:type="dxa"/>
            <w:right w:w="0" w:type="dxa"/>
          </w:tblCellMar>
        </w:tblPrEx>
        <w:trPr>
          <w:cantSplit/>
          <w:trHeight w:val="94"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right="0" w:rightChars="0"/>
              <w:jc w:val="center"/>
              <w:rPr>
                <w:rFonts w:hint="default"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二、药学综合评价</w:t>
            </w:r>
            <w:r>
              <w:rPr>
                <w:rFonts w:hint="eastAsia" w:eastAsia="宋体" w:cs="宋体"/>
                <w:b w:val="0"/>
                <w:bCs w:val="0"/>
                <w:color w:val="000000"/>
                <w:sz w:val="22"/>
                <w:szCs w:val="22"/>
                <w:lang w:val="en-US" w:eastAsia="zh-CN"/>
              </w:rPr>
              <w:t>（满分40分）</w:t>
            </w:r>
          </w:p>
        </w:tc>
        <w:tc>
          <w:tcPr>
            <w:tcW w:w="3564"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left="8190" w:leftChars="0" w:right="0" w:rightChars="0"/>
              <w:jc w:val="center"/>
              <w:rPr>
                <w:rFonts w:hint="eastAsia" w:ascii="宋体" w:hAnsi="宋体" w:eastAsia="宋体" w:cs="宋体"/>
                <w:b w:val="0"/>
                <w:bCs w:val="0"/>
                <w:color w:val="000000"/>
                <w:sz w:val="22"/>
                <w:szCs w:val="22"/>
                <w:lang w:val="en-US" w:eastAsia="zh-CN"/>
              </w:rPr>
            </w:pPr>
          </w:p>
        </w:tc>
        <w:tc>
          <w:tcPr>
            <w:tcW w:w="3439" w:type="dxa"/>
            <w:gridSpan w:val="2"/>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ind w:left="8190" w:leftChars="0" w:right="0" w:rightChars="0"/>
              <w:jc w:val="left"/>
              <w:rPr>
                <w:rFonts w:hint="eastAsia" w:ascii="宋体" w:hAnsi="宋体" w:eastAsia="宋体" w:cs="宋体"/>
                <w:b w:val="0"/>
                <w:bCs w:val="0"/>
                <w:color w:val="000000"/>
                <w:sz w:val="22"/>
                <w:szCs w:val="22"/>
                <w:lang w:val="en-US" w:eastAsia="zh-CN"/>
              </w:rPr>
            </w:pPr>
          </w:p>
        </w:tc>
        <w:tc>
          <w:tcPr>
            <w:tcW w:w="1721"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left="8190" w:leftChars="0" w:right="0" w:rightChars="0"/>
              <w:jc w:val="left"/>
              <w:rPr>
                <w:rFonts w:hint="eastAsia" w:ascii="宋体" w:hAnsi="宋体" w:eastAsia="宋体" w:cs="宋体"/>
                <w:b w:val="0"/>
                <w:bCs w:val="0"/>
                <w:color w:val="000000"/>
                <w:sz w:val="22"/>
                <w:szCs w:val="22"/>
                <w:lang w:val="en-US" w:eastAsia="zh-CN"/>
              </w:rPr>
            </w:pPr>
          </w:p>
        </w:tc>
      </w:tr>
      <w:tr>
        <w:tblPrEx>
          <w:tblCellMar>
            <w:top w:w="0" w:type="dxa"/>
            <w:left w:w="0" w:type="dxa"/>
            <w:bottom w:w="0" w:type="dxa"/>
            <w:right w:w="0" w:type="dxa"/>
          </w:tblCellMar>
        </w:tblPrEx>
        <w:trPr>
          <w:cantSplit/>
          <w:trHeight w:val="90" w:hRule="atLeast"/>
          <w:jc w:val="center"/>
        </w:trPr>
        <w:tc>
          <w:tcPr>
            <w:tcW w:w="2190"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center"/>
              <w:rPr>
                <w:rFonts w:hint="eastAsia" w:ascii="宋体" w:hAnsi="宋体" w:eastAsia="宋体" w:cs="宋体"/>
                <w:b w:val="0"/>
                <w:bCs w:val="0"/>
                <w:color w:val="000000"/>
                <w:sz w:val="22"/>
                <w:szCs w:val="22"/>
                <w:lang w:val="en-US" w:eastAsia="zh-CN"/>
              </w:rPr>
            </w:pPr>
          </w:p>
        </w:tc>
        <w:tc>
          <w:tcPr>
            <w:tcW w:w="3602"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right="0" w:rightChars="0"/>
              <w:jc w:val="center"/>
              <w:rPr>
                <w:rFonts w:hint="default" w:ascii="宋体" w:hAnsi="宋体" w:eastAsia="宋体" w:cs="宋体"/>
                <w:b w:val="0"/>
                <w:bCs w:val="0"/>
                <w:color w:val="000000"/>
                <w:sz w:val="22"/>
                <w:szCs w:val="22"/>
                <w:lang w:val="en-US" w:eastAsia="zh-CN"/>
              </w:rPr>
            </w:pPr>
            <w:r>
              <w:rPr>
                <w:rFonts w:hint="eastAsia" w:ascii="宋体" w:hAnsi="宋体" w:eastAsia="宋体" w:cs="宋体"/>
                <w:b w:val="0"/>
                <w:bCs w:val="0"/>
                <w:color w:val="000000"/>
                <w:sz w:val="22"/>
                <w:szCs w:val="22"/>
                <w:lang w:val="en-US" w:eastAsia="zh-CN"/>
              </w:rPr>
              <w:t>加分项：新药转化评价（最高10分）</w:t>
            </w:r>
          </w:p>
        </w:tc>
        <w:tc>
          <w:tcPr>
            <w:tcW w:w="3564"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right="0" w:rightChars="0"/>
              <w:jc w:val="both"/>
              <w:rPr>
                <w:rFonts w:hint="eastAsia" w:ascii="宋体" w:hAnsi="宋体" w:eastAsia="宋体" w:cs="宋体"/>
                <w:b w:val="0"/>
                <w:bCs w:val="0"/>
                <w:color w:val="000000"/>
                <w:sz w:val="22"/>
                <w:szCs w:val="22"/>
                <w:lang w:val="en-US" w:eastAsia="zh-CN"/>
              </w:rPr>
            </w:pPr>
          </w:p>
        </w:tc>
        <w:tc>
          <w:tcPr>
            <w:tcW w:w="3439" w:type="dxa"/>
            <w:gridSpan w:val="2"/>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ind w:right="0" w:rightChars="0"/>
              <w:jc w:val="left"/>
              <w:rPr>
                <w:rFonts w:hint="eastAsia" w:ascii="宋体" w:hAnsi="宋体" w:eastAsia="宋体" w:cs="宋体"/>
                <w:b w:val="0"/>
                <w:bCs w:val="0"/>
                <w:color w:val="000000"/>
                <w:sz w:val="22"/>
                <w:szCs w:val="22"/>
                <w:lang w:val="en-US" w:eastAsia="zh-CN"/>
              </w:rPr>
            </w:pPr>
          </w:p>
        </w:tc>
        <w:tc>
          <w:tcPr>
            <w:tcW w:w="1721" w:type="dxa"/>
            <w:vMerge w:val="continue"/>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numPr>
                <w:ilvl w:val="0"/>
                <w:numId w:val="0"/>
              </w:numPr>
              <w:kinsoku/>
              <w:wordWrap/>
              <w:overflowPunct/>
              <w:topLinePunct w:val="0"/>
              <w:bidi w:val="0"/>
              <w:adjustRightInd/>
              <w:snapToGrid/>
              <w:spacing w:line="360" w:lineRule="exact"/>
              <w:ind w:right="0" w:rightChars="0"/>
              <w:jc w:val="left"/>
              <w:rPr>
                <w:rFonts w:hint="eastAsia" w:ascii="宋体" w:hAnsi="宋体" w:eastAsia="宋体" w:cs="宋体"/>
                <w:b w:val="0"/>
                <w:bCs w:val="0"/>
                <w:color w:val="000000"/>
                <w:sz w:val="22"/>
                <w:szCs w:val="22"/>
                <w:lang w:val="en-US" w:eastAsia="zh-CN"/>
              </w:rPr>
            </w:pPr>
          </w:p>
        </w:tc>
      </w:tr>
      <w:tr>
        <w:tblPrEx>
          <w:tblCellMar>
            <w:top w:w="0" w:type="dxa"/>
            <w:left w:w="0" w:type="dxa"/>
            <w:bottom w:w="0" w:type="dxa"/>
            <w:right w:w="0" w:type="dxa"/>
          </w:tblCellMar>
        </w:tblPrEx>
        <w:trPr>
          <w:cantSplit/>
          <w:trHeight w:val="283" w:hRule="atLeast"/>
          <w:jc w:val="center"/>
        </w:trPr>
        <w:tc>
          <w:tcPr>
            <w:tcW w:w="14516" w:type="dxa"/>
            <w:gridSpan w:val="8"/>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pStyle w:val="7"/>
              <w:keepNext w:val="0"/>
              <w:keepLines w:val="0"/>
              <w:pageBreakBefore w:val="0"/>
              <w:kinsoku/>
              <w:wordWrap/>
              <w:overflowPunct/>
              <w:topLinePunct w:val="0"/>
              <w:bidi w:val="0"/>
              <w:adjustRightInd/>
              <w:snapToGrid/>
              <w:spacing w:line="360" w:lineRule="exact"/>
              <w:jc w:val="center"/>
              <w:rPr>
                <w:rFonts w:hint="eastAsia"/>
                <w:b/>
                <w:bCs w:val="0"/>
                <w:color w:val="000000"/>
                <w:lang w:val="en-US" w:eastAsia="zh-CN"/>
              </w:rPr>
            </w:pPr>
            <w:r>
              <w:rPr>
                <w:rFonts w:hint="eastAsia" w:ascii="仿宋" w:hAnsi="仿宋" w:eastAsia="仿宋" w:cs="仿宋"/>
                <w:b/>
                <w:bCs/>
                <w:color w:val="000000"/>
                <w:sz w:val="24"/>
                <w:szCs w:val="24"/>
                <w:lang w:val="en-US" w:eastAsia="zh-CN"/>
              </w:rPr>
              <w:t>备注：1.以1或0.5评分；2.使用历史计算时间至申报截止时间，其他年度、近几年</w:t>
            </w:r>
            <w:r>
              <w:rPr>
                <w:rFonts w:hint="eastAsia" w:ascii="仿宋" w:hAnsi="仿宋" w:cs="仿宋"/>
                <w:b/>
                <w:bCs/>
                <w:color w:val="000000"/>
                <w:sz w:val="24"/>
                <w:szCs w:val="24"/>
                <w:lang w:val="en-US" w:eastAsia="zh-CN"/>
              </w:rPr>
              <w:t>、几年内</w:t>
            </w:r>
            <w:r>
              <w:rPr>
                <w:rFonts w:hint="eastAsia" w:ascii="仿宋" w:hAnsi="仿宋" w:eastAsia="仿宋" w:cs="仿宋"/>
                <w:b/>
                <w:bCs/>
                <w:color w:val="000000"/>
                <w:sz w:val="24"/>
                <w:szCs w:val="24"/>
                <w:lang w:val="en-US" w:eastAsia="zh-CN"/>
              </w:rPr>
              <w:t>计算时间均为每年1月1日至12月31日。</w:t>
            </w:r>
          </w:p>
        </w:tc>
      </w:tr>
      <w:tr>
        <w:tblPrEx>
          <w:tblCellMar>
            <w:top w:w="0" w:type="dxa"/>
            <w:left w:w="0" w:type="dxa"/>
            <w:bottom w:w="0" w:type="dxa"/>
            <w:right w:w="0" w:type="dxa"/>
          </w:tblCellMar>
        </w:tblPrEx>
        <w:trPr>
          <w:cantSplit/>
          <w:trHeight w:val="625" w:hRule="atLeast"/>
          <w:jc w:val="center"/>
        </w:trPr>
        <w:tc>
          <w:tcPr>
            <w:tcW w:w="14516" w:type="dxa"/>
            <w:gridSpan w:val="8"/>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 </w:t>
            </w:r>
            <w:r>
              <w:rPr>
                <w:rFonts w:hint="eastAsia" w:ascii="宋体" w:hAnsi="宋体" w:eastAsia="宋体" w:cs="宋体"/>
                <w:b w:val="0"/>
                <w:bCs/>
                <w:i w:val="0"/>
                <w:color w:val="000000"/>
                <w:kern w:val="0"/>
                <w:sz w:val="21"/>
                <w:szCs w:val="21"/>
                <w:u w:val="none"/>
                <w:lang w:val="en-US" w:eastAsia="zh-CN" w:bidi="ar"/>
              </w:rPr>
              <w:t>自评组成员</w:t>
            </w:r>
            <w:r>
              <w:rPr>
                <w:rFonts w:hint="eastAsia" w:ascii="宋体" w:hAnsi="宋体" w:eastAsia="宋体" w:cs="宋体"/>
                <w:i w:val="0"/>
                <w:color w:val="000000"/>
                <w:kern w:val="0"/>
                <w:sz w:val="21"/>
                <w:szCs w:val="21"/>
                <w:u w:val="none"/>
                <w:lang w:val="en-US" w:eastAsia="zh-CN" w:bidi="ar"/>
              </w:rPr>
              <w:t>签名：</w:t>
            </w:r>
          </w:p>
          <w:p>
            <w:pPr>
              <w:keepNext w:val="0"/>
              <w:keepLines w:val="0"/>
              <w:pageBreakBefore w:val="0"/>
              <w:widowControl/>
              <w:suppressLineNumbers w:val="0"/>
              <w:kinsoku/>
              <w:wordWrap/>
              <w:overflowPunct/>
              <w:topLinePunct w:val="0"/>
              <w:autoSpaceDE/>
              <w:autoSpaceDN/>
              <w:bidi w:val="0"/>
              <w:adjustRightInd/>
              <w:snapToGrid/>
              <w:spacing w:line="360" w:lineRule="exact"/>
              <w:jc w:val="right"/>
              <w:textAlignment w:val="center"/>
              <w:outlineLvl w:val="9"/>
              <w:rPr>
                <w:rFonts w:hint="eastAsia" w:ascii="宋体" w:hAnsi="宋体" w:eastAsia="宋体" w:cs="宋体"/>
                <w:b/>
                <w:bCs w:val="0"/>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r>
              <w:rPr>
                <w:rFonts w:hint="eastAsia" w:ascii="宋体" w:hAnsi="宋体" w:eastAsia="宋体" w:cs="宋体"/>
                <w:b/>
                <w:bCs w:val="0"/>
                <w:i w:val="0"/>
                <w:color w:val="000000"/>
                <w:kern w:val="0"/>
                <w:sz w:val="21"/>
                <w:szCs w:val="21"/>
                <w:u w:val="none"/>
                <w:lang w:val="en-US" w:eastAsia="zh-CN" w:bidi="ar"/>
              </w:rPr>
              <w:t xml:space="preserve">        </w:t>
            </w:r>
            <w:r>
              <w:rPr>
                <w:rStyle w:val="11"/>
                <w:rFonts w:hint="eastAsia" w:ascii="宋体" w:hAnsi="宋体" w:eastAsia="宋体" w:cs="宋体"/>
                <w:b/>
                <w:bCs w:val="0"/>
                <w:color w:val="000000"/>
                <w:sz w:val="21"/>
                <w:szCs w:val="21"/>
                <w:lang w:val="en-US" w:eastAsia="zh-CN" w:bidi="ar"/>
              </w:rPr>
              <w:t xml:space="preserve"> </w:t>
            </w:r>
          </w:p>
        </w:tc>
      </w:tr>
      <w:tr>
        <w:tblPrEx>
          <w:tblCellMar>
            <w:top w:w="0" w:type="dxa"/>
            <w:left w:w="0" w:type="dxa"/>
            <w:bottom w:w="0" w:type="dxa"/>
            <w:right w:w="0" w:type="dxa"/>
          </w:tblCellMar>
        </w:tblPrEx>
        <w:trPr>
          <w:cantSplit/>
          <w:trHeight w:val="2368" w:hRule="atLeast"/>
          <w:jc w:val="center"/>
        </w:trPr>
        <w:tc>
          <w:tcPr>
            <w:tcW w:w="4838"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申报负责人签名：</w:t>
            </w:r>
          </w:p>
          <w:p>
            <w:pPr>
              <w:keepNext w:val="0"/>
              <w:keepLines w:val="0"/>
              <w:pageBreakBefore w:val="0"/>
              <w:widowControl/>
              <w:kinsoku/>
              <w:wordWrap/>
              <w:overflowPunct/>
              <w:topLinePunct w:val="0"/>
              <w:autoSpaceDE/>
              <w:autoSpaceDN/>
              <w:bidi w:val="0"/>
              <w:adjustRightInd/>
              <w:snapToGrid/>
              <w:spacing w:line="360" w:lineRule="exact"/>
              <w:jc w:val="both"/>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jc w:val="right"/>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c>
          <w:tcPr>
            <w:tcW w:w="4838" w:type="dxa"/>
            <w:gridSpan w:val="4"/>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left"/>
              <w:outlineLvl w:val="9"/>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法定代表人签名：</w:t>
            </w:r>
          </w:p>
          <w:p>
            <w:pPr>
              <w:keepNext w:val="0"/>
              <w:keepLines w:val="0"/>
              <w:pageBreakBefore w:val="0"/>
              <w:widowControl/>
              <w:kinsoku/>
              <w:wordWrap/>
              <w:overflowPunct/>
              <w:topLinePunct w:val="0"/>
              <w:autoSpaceDE/>
              <w:autoSpaceDN/>
              <w:bidi w:val="0"/>
              <w:adjustRightInd/>
              <w:snapToGrid/>
              <w:spacing w:line="360" w:lineRule="exact"/>
              <w:jc w:val="both"/>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exact"/>
              <w:jc w:val="right"/>
              <w:outlineLvl w:val="9"/>
              <w:rPr>
                <w:rFonts w:hint="eastAsia" w:ascii="宋体" w:hAnsi="宋体" w:eastAsia="宋体" w:cs="宋体"/>
                <w:i w:val="0"/>
                <w:color w:val="000000"/>
                <w:kern w:val="0"/>
                <w:sz w:val="21"/>
                <w:szCs w:val="21"/>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exact"/>
              <w:ind w:firstLine="1890" w:firstLineChars="900"/>
              <w:jc w:val="right"/>
              <w:textAlignment w:val="top"/>
              <w:outlineLvl w:val="9"/>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年    月    日</w:t>
            </w:r>
          </w:p>
        </w:tc>
        <w:tc>
          <w:tcPr>
            <w:tcW w:w="4840" w:type="dxa"/>
            <w:gridSpan w:val="2"/>
            <w:tcBorders>
              <w:top w:val="single" w:color="000000" w:sz="8" w:space="0"/>
              <w:left w:val="single" w:color="000000" w:sz="8" w:space="0"/>
              <w:bottom w:val="single" w:color="000000" w:sz="8" w:space="0"/>
              <w:right w:val="single" w:color="000000" w:sz="8" w:space="0"/>
            </w:tcBorders>
            <w:noWrap w:val="0"/>
            <w:tcMar>
              <w:top w:w="15" w:type="dxa"/>
              <w:left w:w="15" w:type="dxa"/>
              <w:right w:w="15" w:type="dxa"/>
            </w:tcMar>
            <w:vAlign w:val="top"/>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top"/>
              <w:outlineLvl w:val="9"/>
              <w:rPr>
                <w:rFonts w:hint="eastAsia"/>
                <w:lang w:val="en-US" w:eastAsia="zh-CN"/>
              </w:rPr>
            </w:pPr>
            <w:r>
              <w:rPr>
                <w:rFonts w:hint="eastAsia"/>
                <w:lang w:val="en-US"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outlineLvl w:val="9"/>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outlineLvl w:val="9"/>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outlineLvl w:val="9"/>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outlineLvl w:val="9"/>
              <w:rPr>
                <w:rFonts w:hint="eastAsia"/>
                <w:lang w:val="en-US" w:eastAsia="zh-CN"/>
              </w:rPr>
            </w:pPr>
            <w:r>
              <w:rPr>
                <w:rFonts w:hint="eastAsia"/>
                <w:lang w:val="en-US" w:eastAsia="zh-CN"/>
              </w:rPr>
              <w:t xml:space="preserve">  （加盖公章处）</w:t>
            </w:r>
          </w:p>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top"/>
              <w:outlineLvl w:val="9"/>
              <w:rPr>
                <w:rFonts w:hint="eastAsia"/>
                <w:lang w:val="en-US" w:eastAsia="zh-CN"/>
              </w:rPr>
            </w:pPr>
            <w:r>
              <w:rPr>
                <w:rFonts w:hint="eastAsia"/>
                <w:lang w:val="en-US" w:eastAsia="zh-CN"/>
              </w:rPr>
              <w:t>年    月    日</w:t>
            </w:r>
          </w:p>
          <w:p>
            <w:pPr>
              <w:pStyle w:val="7"/>
              <w:keepNext w:val="0"/>
              <w:keepLines w:val="0"/>
              <w:pageBreakBefore w:val="0"/>
              <w:kinsoku/>
              <w:wordWrap/>
              <w:overflowPunct/>
              <w:topLinePunct w:val="0"/>
              <w:bidi w:val="0"/>
              <w:adjustRightInd/>
              <w:snapToGrid/>
              <w:spacing w:line="360" w:lineRule="exact"/>
              <w:rPr>
                <w:rFonts w:hint="eastAsia"/>
                <w:lang w:val="en-US" w:eastAsia="zh-CN"/>
              </w:rPr>
            </w:pPr>
          </w:p>
        </w:tc>
      </w:tr>
    </w:tbl>
    <w:p>
      <w:pPr>
        <w:pStyle w:val="7"/>
        <w:rPr>
          <w:rFonts w:hint="eastAsia" w:ascii="黑体" w:hAnsi="宋体" w:eastAsia="黑体" w:cs="黑体"/>
          <w:i w:val="0"/>
          <w:color w:val="000000"/>
          <w:kern w:val="0"/>
          <w:sz w:val="32"/>
          <w:szCs w:val="32"/>
          <w:u w:val="none"/>
          <w:lang w:val="en-US" w:eastAsia="zh-CN" w:bidi="ar"/>
        </w:rPr>
        <w:sectPr>
          <w:footerReference r:id="rId4" w:type="default"/>
          <w:pgSz w:w="16838" w:h="11906" w:orient="landscape"/>
          <w:pgMar w:top="1701" w:right="1440" w:bottom="1701" w:left="1440"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altName w:val="方正小标宋_GBK"/>
    <w:panose1 w:val="02000500000000000000"/>
    <w:charset w:val="00"/>
    <w:family w:val="auto"/>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JspJgbXAQAAsAMAAA4AAAAAAAAAAQAgAAAA&#10;HgEAAGRycy9lMm9Eb2MueG1sUEsFBgAAAAAGAAYAWQEAAGcFAAAAAA==&#10;">
              <v:path/>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LJp9cBAACw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TlXll2YYDKlsfVspWE3TDx3vj0h&#10;zR73gVGH60+J+eBQ7rw6sxFnYzcbhxD1viu7lWtBeHtI2FtpOVcYYZFqdnCQhfS0dHlT/vZL1uOP&#10;tv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OkSyafXAQAAsAMAAA4AAAAAAAAAAQAgAAAA&#10;HgEAAGRycy9lMm9Eb2MueG1sUEsFBgAAAAAGAAYAWQEAAGcFAAAAAA==&#10;">
              <v:path/>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s>
  <w:rsids>
    <w:rsidRoot w:val="108317C6"/>
    <w:rsid w:val="10831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uiPriority w:val="99"/>
    <w:rPr>
      <w:rFonts w:ascii="Arial" w:hAnsi="Arial" w:eastAsia="Arial" w:cs="Arial"/>
      <w:sz w:val="20"/>
      <w:szCs w:val="20"/>
    </w:rPr>
  </w:style>
  <w:style w:type="paragraph" w:styleId="3">
    <w:name w:val="footer"/>
    <w:basedOn w:val="1"/>
    <w:uiPriority w:val="0"/>
    <w:pPr>
      <w:tabs>
        <w:tab w:val="center" w:pos="4153"/>
        <w:tab w:val="right" w:pos="8306"/>
      </w:tabs>
      <w:snapToGrid w:val="0"/>
      <w:jc w:val="left"/>
    </w:pPr>
    <w:rPr>
      <w:sz w:val="18"/>
    </w:rPr>
  </w:style>
  <w:style w:type="paragraph" w:customStyle="1" w:styleId="6">
    <w:name w:val="List Paragraph1"/>
    <w:basedOn w:val="1"/>
    <w:qFormat/>
    <w:uiPriority w:val="34"/>
    <w:pPr>
      <w:ind w:firstLine="420" w:firstLineChars="200"/>
    </w:pPr>
  </w:style>
  <w:style w:type="paragraph" w:customStyle="1" w:styleId="7">
    <w:name w:val="BodyText"/>
    <w:basedOn w:val="1"/>
    <w:qFormat/>
    <w:uiPriority w:val="0"/>
    <w:pPr>
      <w:autoSpaceDE w:val="0"/>
      <w:autoSpaceDN w:val="0"/>
      <w:spacing w:before="0" w:after="0" w:line="240" w:lineRule="auto"/>
      <w:ind w:left="0" w:right="0"/>
      <w:jc w:val="left"/>
    </w:pPr>
    <w:rPr>
      <w:rFonts w:ascii="宋体" w:hAnsi="宋体" w:eastAsia="仿宋" w:cs="宋体"/>
      <w:kern w:val="0"/>
      <w:sz w:val="22"/>
      <w:szCs w:val="22"/>
      <w:lang w:val="zh-CN" w:bidi="zh-CN"/>
    </w:rPr>
  </w:style>
  <w:style w:type="character" w:customStyle="1" w:styleId="8">
    <w:name w:val="font21"/>
    <w:basedOn w:val="5"/>
    <w:qFormat/>
    <w:uiPriority w:val="0"/>
    <w:rPr>
      <w:rFonts w:hint="eastAsia" w:ascii="仿宋" w:hAnsi="仿宋" w:eastAsia="仿宋" w:cs="仿宋"/>
      <w:color w:val="000000"/>
      <w:sz w:val="32"/>
      <w:szCs w:val="32"/>
      <w:u w:val="none"/>
    </w:rPr>
  </w:style>
  <w:style w:type="character" w:customStyle="1" w:styleId="9">
    <w:name w:val="font51"/>
    <w:basedOn w:val="5"/>
    <w:qFormat/>
    <w:uiPriority w:val="0"/>
    <w:rPr>
      <w:rFonts w:hint="eastAsia" w:ascii="仿宋" w:hAnsi="仿宋" w:eastAsia="仿宋" w:cs="仿宋"/>
      <w:color w:val="000000"/>
      <w:sz w:val="32"/>
      <w:szCs w:val="32"/>
      <w:u w:val="none"/>
    </w:rPr>
  </w:style>
  <w:style w:type="character" w:customStyle="1" w:styleId="10">
    <w:name w:val="font41"/>
    <w:basedOn w:val="5"/>
    <w:qFormat/>
    <w:uiPriority w:val="0"/>
    <w:rPr>
      <w:rFonts w:hint="eastAsia" w:ascii="仿宋" w:hAnsi="仿宋" w:eastAsia="仿宋" w:cs="仿宋"/>
      <w:color w:val="000000"/>
      <w:sz w:val="32"/>
      <w:szCs w:val="32"/>
      <w:u w:val="none"/>
    </w:rPr>
  </w:style>
  <w:style w:type="character" w:customStyle="1" w:styleId="11">
    <w:name w:val="font121"/>
    <w:basedOn w:val="5"/>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2023-03-28T03:36:00Z</dcterms:created>
  <dc:creator>沉默的肥羔羊</dc:creator>
  <cp:lastModifiedBy>沉默的肥羔羊</cp:lastModifiedBy>
  <dcterms:modified xsi:type="dcterms:W3CDTF">2023-03-28T03:36:52Z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19ED0F462A3A49418CE0E2D35748584C</vt:lpwstr>
  </property>
</Properties>
</file>