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7774F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B7774F">
      <w:pPr>
        <w:spacing w:beforeLines="100" w:before="312" w:afterLines="100" w:after="312" w:line="640" w:lineRule="exact"/>
        <w:jc w:val="center"/>
        <w:rPr>
          <w:rFonts w:ascii="方正小标宋简体" w:eastAsia="方正小标宋简体" w:hint="eastAsia"/>
          <w:sz w:val="44"/>
          <w:szCs w:val="44"/>
          <w:lang w:val="en"/>
        </w:rPr>
      </w:pPr>
      <w:r>
        <w:rPr>
          <w:rFonts w:ascii="方正小标宋简体" w:eastAsia="方正小标宋简体" w:hint="eastAsia"/>
          <w:sz w:val="44"/>
          <w:szCs w:val="44"/>
        </w:rPr>
        <w:t>注射用磷霉素钠说明书修订</w:t>
      </w:r>
      <w:r>
        <w:rPr>
          <w:rFonts w:ascii="方正小标宋简体" w:eastAsia="方正小标宋简体" w:hint="eastAsia"/>
          <w:sz w:val="44"/>
          <w:szCs w:val="44"/>
        </w:rPr>
        <w:t>要求</w:t>
      </w:r>
    </w:p>
    <w:p w:rsidR="00000000" w:rsidRDefault="00B7774F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一、【不良反应】项下修订为以下内容</w:t>
      </w:r>
    </w:p>
    <w:p w:rsidR="00000000" w:rsidRDefault="00B7774F">
      <w:pPr>
        <w:spacing w:line="54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治疗过程中最常见的不良反应是红斑</w:t>
      </w:r>
      <w:r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、电解质失衡、注射部位反应、</w:t>
      </w:r>
      <w:r>
        <w:rPr>
          <w:rFonts w:ascii="Times New Roman" w:eastAsia="仿宋_GB2312" w:hAnsi="Times New Roman"/>
          <w:snapToGrid w:val="0"/>
          <w:color w:val="000000"/>
          <w:kern w:val="0"/>
          <w:sz w:val="32"/>
          <w:szCs w:val="32"/>
        </w:rPr>
        <w:t>味觉倒错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和胃肠紊乱。其他重要不良反应包括过敏性休克、抗生素相关性结肠炎和白细胞减少。</w:t>
      </w:r>
    </w:p>
    <w:p w:rsidR="00000000" w:rsidRDefault="00B7774F">
      <w:pPr>
        <w:spacing w:line="54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按照系统器官类别和不良反应发生列示不良反应。发生频率定义如下：非常常见（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≥1/10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）、常见（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≥1/100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至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&lt;1/10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）、偶见（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≥1/1000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至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&lt;1/100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）、罕见（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≥1/10000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至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&lt;1/1000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）、非常罕见（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&lt;1/10000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）和未知（无法根据现有数据进行估算）。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7"/>
        <w:gridCol w:w="1559"/>
        <w:gridCol w:w="4054"/>
      </w:tblGrid>
      <w:tr w:rsidR="00000000">
        <w:trPr>
          <w:trHeight w:val="897"/>
          <w:jc w:val="center"/>
        </w:trPr>
        <w:tc>
          <w:tcPr>
            <w:tcW w:w="2567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器官系统分类</w:t>
            </w:r>
          </w:p>
        </w:tc>
        <w:tc>
          <w:tcPr>
            <w:tcW w:w="1559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发生频率</w:t>
            </w:r>
          </w:p>
        </w:tc>
        <w:tc>
          <w:tcPr>
            <w:tcW w:w="4054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不良反应</w:t>
            </w:r>
          </w:p>
        </w:tc>
      </w:tr>
      <w:tr w:rsidR="00000000">
        <w:trPr>
          <w:trHeight w:val="270"/>
          <w:jc w:val="center"/>
        </w:trPr>
        <w:tc>
          <w:tcPr>
            <w:tcW w:w="2567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血液系统</w:t>
            </w:r>
          </w:p>
        </w:tc>
        <w:tc>
          <w:tcPr>
            <w:tcW w:w="1559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未知</w:t>
            </w:r>
          </w:p>
        </w:tc>
        <w:tc>
          <w:tcPr>
            <w:tcW w:w="4054" w:type="dxa"/>
            <w:vAlign w:val="center"/>
          </w:tcPr>
          <w:p w:rsidR="00000000" w:rsidRDefault="00B7774F">
            <w:pPr>
              <w:widowControl/>
              <w:spacing w:line="5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粒细胞缺乏症（一过性）、白细胞减少症、血小板减少、中性粒细胞减少</w:t>
            </w:r>
          </w:p>
        </w:tc>
      </w:tr>
      <w:tr w:rsidR="00000000">
        <w:trPr>
          <w:trHeight w:val="855"/>
          <w:jc w:val="center"/>
        </w:trPr>
        <w:tc>
          <w:tcPr>
            <w:tcW w:w="2567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免疫系统</w:t>
            </w:r>
          </w:p>
        </w:tc>
        <w:tc>
          <w:tcPr>
            <w:tcW w:w="1559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非常罕见</w:t>
            </w:r>
          </w:p>
        </w:tc>
        <w:tc>
          <w:tcPr>
            <w:tcW w:w="4054" w:type="dxa"/>
            <w:vAlign w:val="center"/>
          </w:tcPr>
          <w:p w:rsidR="00000000" w:rsidRDefault="00B7774F">
            <w:pPr>
              <w:widowControl/>
              <w:spacing w:line="5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过敏反应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包括过敏性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休克和超敏反应</w:t>
            </w:r>
          </w:p>
        </w:tc>
      </w:tr>
      <w:tr w:rsidR="00000000">
        <w:trPr>
          <w:trHeight w:val="270"/>
          <w:jc w:val="center"/>
        </w:trPr>
        <w:tc>
          <w:tcPr>
            <w:tcW w:w="2567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各类检查</w:t>
            </w:r>
          </w:p>
        </w:tc>
        <w:tc>
          <w:tcPr>
            <w:tcW w:w="1559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常见</w:t>
            </w:r>
          </w:p>
        </w:tc>
        <w:tc>
          <w:tcPr>
            <w:tcW w:w="4054" w:type="dxa"/>
            <w:vAlign w:val="center"/>
          </w:tcPr>
          <w:p w:rsidR="00000000" w:rsidRDefault="00B7774F">
            <w:pPr>
              <w:widowControl/>
              <w:spacing w:line="5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高钠血症、低钾血症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*</w:t>
            </w:r>
          </w:p>
        </w:tc>
      </w:tr>
      <w:tr w:rsidR="00000000">
        <w:trPr>
          <w:trHeight w:val="270"/>
          <w:jc w:val="center"/>
        </w:trPr>
        <w:tc>
          <w:tcPr>
            <w:tcW w:w="2567" w:type="dxa"/>
            <w:vMerge w:val="restart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神经系统</w:t>
            </w:r>
          </w:p>
        </w:tc>
        <w:tc>
          <w:tcPr>
            <w:tcW w:w="1559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常见</w:t>
            </w:r>
          </w:p>
        </w:tc>
        <w:tc>
          <w:tcPr>
            <w:tcW w:w="4054" w:type="dxa"/>
            <w:vAlign w:val="center"/>
          </w:tcPr>
          <w:p w:rsidR="00000000" w:rsidRDefault="00B7774F">
            <w:pPr>
              <w:widowControl/>
              <w:spacing w:line="5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味觉倒错</w:t>
            </w:r>
          </w:p>
        </w:tc>
      </w:tr>
      <w:tr w:rsidR="00000000">
        <w:trPr>
          <w:trHeight w:val="270"/>
          <w:jc w:val="center"/>
        </w:trPr>
        <w:tc>
          <w:tcPr>
            <w:tcW w:w="2567" w:type="dxa"/>
            <w:vMerge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偶见</w:t>
            </w:r>
          </w:p>
        </w:tc>
        <w:tc>
          <w:tcPr>
            <w:tcW w:w="4054" w:type="dxa"/>
            <w:vAlign w:val="center"/>
          </w:tcPr>
          <w:p w:rsidR="00000000" w:rsidRDefault="00B7774F">
            <w:pPr>
              <w:widowControl/>
              <w:spacing w:line="5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头痛</w:t>
            </w:r>
          </w:p>
        </w:tc>
      </w:tr>
      <w:tr w:rsidR="00000000">
        <w:trPr>
          <w:trHeight w:val="302"/>
          <w:jc w:val="center"/>
        </w:trPr>
        <w:tc>
          <w:tcPr>
            <w:tcW w:w="2567" w:type="dxa"/>
            <w:vMerge w:val="restart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胃肠系统</w:t>
            </w:r>
          </w:p>
        </w:tc>
        <w:tc>
          <w:tcPr>
            <w:tcW w:w="1559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偶见</w:t>
            </w:r>
          </w:p>
        </w:tc>
        <w:tc>
          <w:tcPr>
            <w:tcW w:w="4054" w:type="dxa"/>
            <w:vAlign w:val="center"/>
          </w:tcPr>
          <w:p w:rsidR="00000000" w:rsidRDefault="00B7774F">
            <w:pPr>
              <w:widowControl/>
              <w:spacing w:line="5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恶心、呕吐、腹泻</w:t>
            </w:r>
          </w:p>
        </w:tc>
      </w:tr>
      <w:tr w:rsidR="00000000">
        <w:trPr>
          <w:trHeight w:val="302"/>
          <w:jc w:val="center"/>
        </w:trPr>
        <w:tc>
          <w:tcPr>
            <w:tcW w:w="2567" w:type="dxa"/>
            <w:vMerge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未知</w:t>
            </w:r>
          </w:p>
        </w:tc>
        <w:tc>
          <w:tcPr>
            <w:tcW w:w="4054" w:type="dxa"/>
            <w:vAlign w:val="center"/>
          </w:tcPr>
          <w:p w:rsidR="00000000" w:rsidRDefault="00B7774F">
            <w:pPr>
              <w:widowControl/>
              <w:spacing w:line="5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抗生素相关性结肠炎</w:t>
            </w:r>
          </w:p>
        </w:tc>
      </w:tr>
      <w:tr w:rsidR="00000000">
        <w:trPr>
          <w:trHeight w:val="540"/>
          <w:jc w:val="center"/>
        </w:trPr>
        <w:tc>
          <w:tcPr>
            <w:tcW w:w="2567" w:type="dxa"/>
            <w:vMerge w:val="restart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肝胆系统</w:t>
            </w:r>
          </w:p>
        </w:tc>
        <w:tc>
          <w:tcPr>
            <w:tcW w:w="1559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偶见</w:t>
            </w:r>
          </w:p>
        </w:tc>
        <w:tc>
          <w:tcPr>
            <w:tcW w:w="4054" w:type="dxa"/>
            <w:vAlign w:val="center"/>
          </w:tcPr>
          <w:p w:rsidR="00000000" w:rsidRDefault="00B7774F">
            <w:pPr>
              <w:widowControl/>
              <w:spacing w:line="5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血清碱性磷酸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酶（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A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LP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）升高（一过性）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转氨酶（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ALT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AST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）升高、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γ-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谷氨酰转移酶（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γ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氨酰转）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升高</w:t>
            </w:r>
          </w:p>
        </w:tc>
      </w:tr>
      <w:tr w:rsidR="00000000">
        <w:trPr>
          <w:trHeight w:val="540"/>
          <w:jc w:val="center"/>
        </w:trPr>
        <w:tc>
          <w:tcPr>
            <w:tcW w:w="2567" w:type="dxa"/>
            <w:vMerge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未知</w:t>
            </w:r>
          </w:p>
        </w:tc>
        <w:tc>
          <w:tcPr>
            <w:tcW w:w="4054" w:type="dxa"/>
            <w:vAlign w:val="center"/>
          </w:tcPr>
          <w:p w:rsidR="00000000" w:rsidRDefault="00B7774F">
            <w:pPr>
              <w:widowControl/>
              <w:spacing w:line="5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肝炎</w:t>
            </w:r>
          </w:p>
        </w:tc>
      </w:tr>
      <w:tr w:rsidR="00000000">
        <w:trPr>
          <w:trHeight w:val="270"/>
          <w:jc w:val="center"/>
        </w:trPr>
        <w:tc>
          <w:tcPr>
            <w:tcW w:w="2567" w:type="dxa"/>
            <w:vMerge w:val="restart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皮肤及皮下组织</w:t>
            </w:r>
          </w:p>
        </w:tc>
        <w:tc>
          <w:tcPr>
            <w:tcW w:w="1559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常见</w:t>
            </w:r>
          </w:p>
        </w:tc>
        <w:tc>
          <w:tcPr>
            <w:tcW w:w="4054" w:type="dxa"/>
            <w:vAlign w:val="center"/>
          </w:tcPr>
          <w:p w:rsidR="00000000" w:rsidRDefault="00B7774F">
            <w:pPr>
              <w:widowControl/>
              <w:spacing w:line="5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红斑</w:t>
            </w:r>
          </w:p>
        </w:tc>
      </w:tr>
      <w:tr w:rsidR="00000000">
        <w:trPr>
          <w:trHeight w:val="270"/>
          <w:jc w:val="center"/>
        </w:trPr>
        <w:tc>
          <w:tcPr>
            <w:tcW w:w="2567" w:type="dxa"/>
            <w:vMerge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偶见</w:t>
            </w:r>
          </w:p>
        </w:tc>
        <w:tc>
          <w:tcPr>
            <w:tcW w:w="4054" w:type="dxa"/>
            <w:vAlign w:val="center"/>
          </w:tcPr>
          <w:p w:rsidR="00000000" w:rsidRDefault="00B7774F">
            <w:pPr>
              <w:widowControl/>
              <w:spacing w:line="5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皮疹</w:t>
            </w:r>
          </w:p>
        </w:tc>
      </w:tr>
      <w:tr w:rsidR="00000000">
        <w:trPr>
          <w:trHeight w:val="270"/>
          <w:jc w:val="center"/>
        </w:trPr>
        <w:tc>
          <w:tcPr>
            <w:tcW w:w="2567" w:type="dxa"/>
            <w:vMerge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未知</w:t>
            </w:r>
          </w:p>
        </w:tc>
        <w:tc>
          <w:tcPr>
            <w:tcW w:w="4054" w:type="dxa"/>
            <w:vAlign w:val="center"/>
          </w:tcPr>
          <w:p w:rsidR="00000000" w:rsidRDefault="00B7774F">
            <w:pPr>
              <w:widowControl/>
              <w:spacing w:line="540" w:lineRule="exact"/>
              <w:jc w:val="left"/>
              <w:rPr>
                <w:rFonts w:ascii="仿宋_GB2312" w:eastAsia="仿宋_GB2312" w:hAnsi="宋体" w:cs="宋体" w:hint="eastAsia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血管性水肿、瘙痒、荨麻疹</w:t>
            </w:r>
          </w:p>
        </w:tc>
      </w:tr>
      <w:tr w:rsidR="00000000">
        <w:trPr>
          <w:trHeight w:val="540"/>
          <w:jc w:val="center"/>
        </w:trPr>
        <w:tc>
          <w:tcPr>
            <w:tcW w:w="2567" w:type="dxa"/>
            <w:vMerge w:val="restart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全身及给药部位反应</w:t>
            </w:r>
          </w:p>
        </w:tc>
        <w:tc>
          <w:tcPr>
            <w:tcW w:w="1559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常见</w:t>
            </w:r>
          </w:p>
        </w:tc>
        <w:tc>
          <w:tcPr>
            <w:tcW w:w="4054" w:type="dxa"/>
            <w:vAlign w:val="center"/>
          </w:tcPr>
          <w:p w:rsidR="00000000" w:rsidRDefault="00B7774F">
            <w:pPr>
              <w:widowControl/>
              <w:spacing w:line="54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注射部位静脉炎</w:t>
            </w:r>
          </w:p>
        </w:tc>
      </w:tr>
      <w:tr w:rsidR="00000000">
        <w:trPr>
          <w:trHeight w:val="540"/>
          <w:jc w:val="center"/>
        </w:trPr>
        <w:tc>
          <w:tcPr>
            <w:tcW w:w="2567" w:type="dxa"/>
            <w:vMerge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00000" w:rsidRDefault="00B7774F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偶见</w:t>
            </w:r>
          </w:p>
        </w:tc>
        <w:tc>
          <w:tcPr>
            <w:tcW w:w="4054" w:type="dxa"/>
            <w:vAlign w:val="center"/>
          </w:tcPr>
          <w:p w:rsidR="00000000" w:rsidRDefault="00B7774F">
            <w:pPr>
              <w:widowControl/>
              <w:spacing w:line="5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乏力</w:t>
            </w:r>
          </w:p>
        </w:tc>
      </w:tr>
    </w:tbl>
    <w:p w:rsidR="00000000" w:rsidRDefault="00B7774F">
      <w:pPr>
        <w:spacing w:line="560" w:lineRule="exact"/>
        <w:ind w:firstLineChars="200" w:firstLine="640"/>
        <w:rPr>
          <w:rFonts w:ascii="仿宋_GB2312" w:eastAsia="仿宋_GB2312" w:hAnsi="Times New Roman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napToGrid w:val="0"/>
          <w:kern w:val="0"/>
          <w:sz w:val="32"/>
          <w:szCs w:val="32"/>
        </w:rPr>
        <w:t>*</w:t>
      </w:r>
      <w:r>
        <w:rPr>
          <w:rFonts w:ascii="仿宋_GB2312" w:eastAsia="仿宋_GB2312" w:hAnsi="Times New Roman" w:hint="eastAsia"/>
          <w:snapToGrid w:val="0"/>
          <w:kern w:val="0"/>
          <w:sz w:val="32"/>
          <w:szCs w:val="32"/>
        </w:rPr>
        <w:t>低钾血症可能导致全身性症状，如乏力、疲倦或水肿和</w:t>
      </w:r>
      <w:r>
        <w:rPr>
          <w:rFonts w:ascii="仿宋_GB2312" w:eastAsia="仿宋_GB2312" w:hAnsi="Times New Roman" w:hint="eastAsia"/>
          <w:snapToGrid w:val="0"/>
          <w:kern w:val="0"/>
          <w:sz w:val="32"/>
          <w:szCs w:val="32"/>
        </w:rPr>
        <w:t>/</w:t>
      </w:r>
      <w:r>
        <w:rPr>
          <w:rFonts w:ascii="仿宋_GB2312" w:eastAsia="仿宋_GB2312" w:hAnsi="Times New Roman" w:hint="eastAsia"/>
          <w:snapToGrid w:val="0"/>
          <w:kern w:val="0"/>
          <w:sz w:val="32"/>
          <w:szCs w:val="32"/>
        </w:rPr>
        <w:t>或肌肉抽搐，</w:t>
      </w:r>
      <w:r>
        <w:rPr>
          <w:rFonts w:ascii="仿宋_GB2312" w:eastAsia="仿宋_GB2312" w:hAnsi="Times New Roman" w:hint="eastAsia"/>
          <w:snapToGrid w:val="0"/>
          <w:kern w:val="0"/>
          <w:sz w:val="32"/>
          <w:szCs w:val="32"/>
        </w:rPr>
        <w:t>严重者可能导致反射减退和心律失常。高钠血症可能引起口渴、血压升高和水钠潴留（如水肿）（见注意事项），严重者可能会导致意识模糊、反射亢进、惊厥发作和昏迷。</w:t>
      </w:r>
    </w:p>
    <w:p w:rsidR="00000000" w:rsidRDefault="00B7774F">
      <w:pPr>
        <w:spacing w:line="560" w:lineRule="exact"/>
        <w:ind w:firstLineChars="200" w:firstLine="640"/>
        <w:rPr>
          <w:rFonts w:ascii="仿宋_GB2312" w:eastAsia="仿宋_GB2312" w:hAnsi="Times New Roman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napToGrid w:val="0"/>
          <w:kern w:val="0"/>
          <w:sz w:val="32"/>
          <w:szCs w:val="32"/>
        </w:rPr>
        <w:t>我国上市后监测中发现本品还有以下不良反应报告（发生率未知）：</w:t>
      </w:r>
    </w:p>
    <w:p w:rsidR="00000000" w:rsidRDefault="00B7774F">
      <w:pPr>
        <w:spacing w:line="560" w:lineRule="exact"/>
        <w:ind w:firstLineChars="200" w:firstLine="640"/>
        <w:rPr>
          <w:rFonts w:ascii="仿宋_GB2312" w:eastAsia="仿宋_GB2312" w:hAnsi="Times New Roman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napToGrid w:val="0"/>
          <w:kern w:val="0"/>
          <w:sz w:val="32"/>
          <w:szCs w:val="32"/>
        </w:rPr>
        <w:t>胃肠系统：腹痛、腹胀、腹部不适、口干、口唇麻木、胃食管反流病。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全身及给药部位反应：胸部不适、发热、水肿、注射部位反应，包括疼痛、肿胀、皮疹、瘙痒等。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神经系统：头晕、感觉减退、震颤、嗜睡。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呼吸系统：呼吸困难、窒息感、呼吸急促、咳嗽、喉水肿、哮喘发作。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lastRenderedPageBreak/>
        <w:t>心血管系统：心悸、心动过速、潮红、苍白、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发绀、血管性疼痛、低血压。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眼部：眼睑水肿、眼眶周围水肿、视觉损害、视物模糊、结膜充血。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肌肉骨骼：肌无力、肌痛、肌痉挛。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肝胆系统：肝功能异常、黄疸、胆红素上升。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泌尿系统：血尿、肾功能异常、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BUN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上升、蛋白尿。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其他：斑丘疹、多汗、眩晕、耳鸣、食欲减退、嗜酸性粒细胞增多、贫血、抽动、烦躁不安。</w:t>
      </w:r>
    </w:p>
    <w:p w:rsidR="00000000" w:rsidRDefault="00B7774F">
      <w:pPr>
        <w:spacing w:line="560" w:lineRule="exact"/>
        <w:ind w:firstLine="645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二、【注意事项】项下修订为以下内容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sz w:val="32"/>
          <w:szCs w:val="32"/>
        </w:rPr>
        <w:t>本品静脉滴注速度宜缓慢，每次静脉滴注时间应在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～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小时以上。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/>
          <w:sz w:val="32"/>
          <w:szCs w:val="32"/>
        </w:rPr>
        <w:t>肝、肾功能减退者慎用。应用较大剂量时应监测肝功能。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/>
          <w:sz w:val="32"/>
          <w:szCs w:val="32"/>
        </w:rPr>
        <w:t>选择性耐药的风险和联合治疗的必要性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在体外，</w:t>
      </w:r>
      <w:r>
        <w:rPr>
          <w:rFonts w:ascii="Times New Roman" w:eastAsia="仿宋_GB2312" w:hAnsi="Times New Roman"/>
          <w:sz w:val="32"/>
          <w:szCs w:val="32"/>
        </w:rPr>
        <w:t>已经发现磷霉素可以快速筛选耐药突变体。在临床研究中，单独静脉给予磷霉素与选择性耐药有关。建议尽可能将磷霉素联合其他抗菌药物使用，以降低选择性耐药的风险。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/>
          <w:sz w:val="32"/>
          <w:szCs w:val="32"/>
        </w:rPr>
        <w:t>过敏反应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磷霉素治疗期间可能会发生严重的过敏反应，包括过敏性休克，严重者可导致死亡。如果发生此类反应，应立即停药，并采取适当的紧急救治措施。</w:t>
      </w:r>
    </w:p>
    <w:p w:rsidR="00000000" w:rsidRDefault="00B7774F">
      <w:pPr>
        <w:spacing w:line="56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5. </w:t>
      </w:r>
      <w:r>
        <w:rPr>
          <w:rFonts w:ascii="Times New Roman" w:eastAsia="仿宋_GB2312" w:hAnsi="Times New Roman"/>
          <w:sz w:val="32"/>
          <w:szCs w:val="32"/>
        </w:rPr>
        <w:t>艰难梭菌相关性腹泻</w:t>
      </w:r>
    </w:p>
    <w:p w:rsidR="00000000" w:rsidRDefault="00B7774F">
      <w:pPr>
        <w:spacing w:line="56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几乎使</w:t>
      </w:r>
      <w:r>
        <w:rPr>
          <w:rFonts w:ascii="Times New Roman" w:eastAsia="仿宋_GB2312" w:hAnsi="Times New Roman"/>
          <w:spacing w:val="6"/>
          <w:sz w:val="32"/>
          <w:szCs w:val="32"/>
        </w:rPr>
        <w:t>用所有抗菌药（包括本品）时均有报告显示艰难梭</w:t>
      </w:r>
      <w:r>
        <w:rPr>
          <w:rFonts w:ascii="Times New Roman" w:eastAsia="仿宋_GB2312" w:hAnsi="Times New Roman"/>
          <w:spacing w:val="6"/>
          <w:sz w:val="32"/>
          <w:szCs w:val="32"/>
        </w:rPr>
        <w:lastRenderedPageBreak/>
        <w:t>菌</w:t>
      </w:r>
      <w:r>
        <w:rPr>
          <w:rFonts w:ascii="Times New Roman" w:eastAsia="仿宋_GB2312" w:hAnsi="Times New Roman"/>
          <w:sz w:val="32"/>
          <w:szCs w:val="32"/>
        </w:rPr>
        <w:t>相关性腹泻（</w:t>
      </w:r>
      <w:r>
        <w:rPr>
          <w:rFonts w:ascii="Times New Roman" w:eastAsia="仿宋_GB2312" w:hAnsi="Times New Roman"/>
          <w:sz w:val="32"/>
          <w:szCs w:val="32"/>
        </w:rPr>
        <w:t>CDAD</w:t>
      </w:r>
      <w:r>
        <w:rPr>
          <w:rFonts w:ascii="Times New Roman" w:eastAsia="仿宋_GB2312" w:hAnsi="Times New Roman"/>
          <w:sz w:val="32"/>
          <w:szCs w:val="32"/>
        </w:rPr>
        <w:t>），严重程度为轻度腹泻至致死性肠炎。使用抗菌药治疗改变了结肠的正常菌群，导致艰难梭菌过度生长。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艰难梭菌产生毒素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</w:rPr>
        <w:t>，导致</w:t>
      </w:r>
      <w:r>
        <w:rPr>
          <w:rFonts w:ascii="Times New Roman" w:eastAsia="仿宋_GB2312" w:hAnsi="Times New Roman"/>
          <w:sz w:val="32"/>
          <w:szCs w:val="32"/>
        </w:rPr>
        <w:t>CDAD</w:t>
      </w:r>
      <w:r>
        <w:rPr>
          <w:rFonts w:ascii="Times New Roman" w:eastAsia="仿宋_GB2312" w:hAnsi="Times New Roman"/>
          <w:sz w:val="32"/>
          <w:szCs w:val="32"/>
        </w:rPr>
        <w:t>的发生。艰难梭菌菌株产生的剧毒素导致发病率和死亡率增加，由于这些感染是抗微生物药治疗难以治愈的，可能需要行结肠切除术。使用抗生素后出现腹泻的患者必须考虑</w:t>
      </w:r>
      <w:r>
        <w:rPr>
          <w:rFonts w:ascii="Times New Roman" w:eastAsia="仿宋_GB2312" w:hAnsi="Times New Roman"/>
          <w:sz w:val="32"/>
          <w:szCs w:val="32"/>
        </w:rPr>
        <w:t>CDAD</w:t>
      </w:r>
      <w:r>
        <w:rPr>
          <w:rFonts w:ascii="Times New Roman" w:eastAsia="仿宋_GB2312" w:hAnsi="Times New Roman"/>
          <w:sz w:val="32"/>
          <w:szCs w:val="32"/>
        </w:rPr>
        <w:t>。详细的病史是必要的，因为报告</w:t>
      </w:r>
      <w:r>
        <w:rPr>
          <w:rFonts w:ascii="Times New Roman" w:eastAsia="仿宋_GB2312" w:hAnsi="Times New Roman"/>
          <w:sz w:val="32"/>
          <w:szCs w:val="32"/>
        </w:rPr>
        <w:t>CDAD</w:t>
      </w:r>
      <w:r>
        <w:rPr>
          <w:rFonts w:ascii="Times New Roman" w:eastAsia="仿宋_GB2312" w:hAnsi="Times New Roman"/>
          <w:sz w:val="32"/>
          <w:szCs w:val="32"/>
        </w:rPr>
        <w:t>在给予抗菌药后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个月内发生。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如果怀疑或确定为</w:t>
      </w:r>
      <w:r>
        <w:rPr>
          <w:rFonts w:ascii="Times New Roman" w:eastAsia="仿宋_GB2312" w:hAnsi="Times New Roman"/>
          <w:sz w:val="32"/>
          <w:szCs w:val="32"/>
        </w:rPr>
        <w:t>CDAD</w:t>
      </w:r>
      <w:r>
        <w:rPr>
          <w:rFonts w:ascii="Times New Roman" w:eastAsia="仿宋_GB2312" w:hAnsi="Times New Roman"/>
          <w:sz w:val="32"/>
          <w:szCs w:val="32"/>
        </w:rPr>
        <w:t>，正在使用的不直接针对艰难梭菌的抗生素需停止使用。对艰难梭菌应给予适当的体液和电解质调节，蛋白质补充、针对艰难梭菌的抗生素治疗，并根据临床指征进行手术评估。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6. </w:t>
      </w:r>
      <w:r>
        <w:rPr>
          <w:rFonts w:ascii="Times New Roman" w:eastAsia="仿宋_GB2312" w:hAnsi="Times New Roman"/>
          <w:sz w:val="32"/>
          <w:szCs w:val="32"/>
        </w:rPr>
        <w:t>对血钠、血钾的影响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克磷霉素（相当于</w:t>
      </w:r>
      <w:r>
        <w:rPr>
          <w:rFonts w:ascii="Times New Roman" w:eastAsia="仿宋_GB2312" w:hAnsi="Times New Roman"/>
          <w:sz w:val="32"/>
          <w:szCs w:val="32"/>
        </w:rPr>
        <w:t>1.32</w:t>
      </w:r>
      <w:r>
        <w:rPr>
          <w:rFonts w:ascii="Times New Roman" w:eastAsia="仿宋_GB2312" w:hAnsi="Times New Roman"/>
          <w:sz w:val="32"/>
          <w:szCs w:val="32"/>
        </w:rPr>
        <w:t>克磷霉素二钠）含有</w:t>
      </w:r>
      <w:r>
        <w:rPr>
          <w:rFonts w:ascii="Times New Roman" w:eastAsia="仿宋_GB2312" w:hAnsi="Times New Roman"/>
          <w:sz w:val="32"/>
          <w:szCs w:val="32"/>
        </w:rPr>
        <w:t>14 mmo</w:t>
      </w:r>
      <w:r>
        <w:rPr>
          <w:rFonts w:ascii="Times New Roman" w:eastAsia="仿宋_GB2312" w:hAnsi="Times New Roman"/>
          <w:sz w:val="32"/>
          <w:szCs w:val="32"/>
        </w:rPr>
        <w:t>l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320 mg</w:t>
      </w:r>
      <w:r>
        <w:rPr>
          <w:rFonts w:ascii="Times New Roman" w:eastAsia="仿宋_GB2312" w:hAnsi="Times New Roman"/>
          <w:sz w:val="32"/>
          <w:szCs w:val="32"/>
        </w:rPr>
        <w:t>）钠，相当于世界卫生组织建议成人每日最大摄入量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克钠的</w:t>
      </w:r>
      <w:r>
        <w:rPr>
          <w:rFonts w:ascii="Times New Roman" w:eastAsia="仿宋_GB2312" w:hAnsi="Times New Roman"/>
          <w:sz w:val="32"/>
          <w:szCs w:val="32"/>
        </w:rPr>
        <w:t>16%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在开始治疗前应评估高钠血症和水钠潴留的风险，尤其是有充血性心力衰竭病史或伴有肾病综合征、肝硬化、高血压、醛固酮增多症、肺水肿或低蛋白血症的患者。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对于接受磷霉素治疗（尤其是长期治疗）的患者，应定期监测其血钠和血钾水平。治疗期间建议低钠饮食，也可以考虑延长输注时长和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或减少单次使用剂量（同时增加给药频次）。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磷霉素可能会降低血钾浓度，因此应考虑补钾。</w:t>
      </w:r>
    </w:p>
    <w:p w:rsidR="00000000" w:rsidRDefault="00B7774F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 xml:space="preserve">    7. </w:t>
      </w:r>
      <w:r>
        <w:rPr>
          <w:rFonts w:ascii="Times New Roman" w:eastAsia="仿宋_GB2312" w:hAnsi="Times New Roman"/>
          <w:sz w:val="32"/>
          <w:szCs w:val="32"/>
        </w:rPr>
        <w:t>粒细胞缺乏症</w:t>
      </w:r>
    </w:p>
    <w:p w:rsidR="00000000" w:rsidRDefault="00B7774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在使用磷霉素静脉注射的患者中，有发生中性粒细胞减少症</w:t>
      </w:r>
      <w:r>
        <w:rPr>
          <w:rFonts w:ascii="Times New Roman" w:eastAsia="仿宋_GB2312" w:hAnsi="Times New Roman"/>
          <w:sz w:val="32"/>
          <w:szCs w:val="32"/>
        </w:rPr>
        <w:t>或粒细胞缺乏症的情况，因此应定期监测白细胞计数，如果出现此类情况，应采取适当的治疗措施。</w:t>
      </w:r>
    </w:p>
    <w:p w:rsidR="00000000" w:rsidRDefault="00B7774F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7774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7774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7774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7774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7774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7774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7774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7774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7774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7774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7774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7774F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B7774F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B7774F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B7774F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B7774F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B7774F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B7774F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B7774F">
      <w:pPr>
        <w:rPr>
          <w:rFonts w:ascii="仿宋_GB2312" w:eastAsia="仿宋_GB2312" w:hAnsi="华文仿宋" w:hint="eastAsia"/>
          <w:sz w:val="18"/>
          <w:szCs w:val="18"/>
        </w:rPr>
      </w:pPr>
    </w:p>
    <w:p w:rsidR="00B7774F" w:rsidRDefault="00B7774F">
      <w:pPr>
        <w:rPr>
          <w:rFonts w:ascii="仿宋_GB2312" w:eastAsia="仿宋_GB2312" w:hAnsi="华文仿宋" w:hint="eastAsia"/>
          <w:sz w:val="18"/>
          <w:szCs w:val="18"/>
        </w:rPr>
      </w:pPr>
      <w:bookmarkStart w:id="0" w:name="_GoBack"/>
      <w:bookmarkEnd w:id="0"/>
    </w:p>
    <w:sectPr w:rsidR="00B7774F">
      <w:footerReference w:type="default" r:id="rId6"/>
      <w:pgSz w:w="11906" w:h="16838"/>
      <w:pgMar w:top="1928" w:right="1531" w:bottom="1814" w:left="1531" w:header="851" w:footer="124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74F" w:rsidRDefault="00B7774F">
      <w:r>
        <w:separator/>
      </w:r>
    </w:p>
  </w:endnote>
  <w:endnote w:type="continuationSeparator" w:id="0">
    <w:p w:rsidR="00B7774F" w:rsidRDefault="00B7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555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0" r="0" b="63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7774F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55553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000000" w:rsidRDefault="00B7774F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55553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74F" w:rsidRDefault="00B7774F">
      <w:r>
        <w:separator/>
      </w:r>
    </w:p>
  </w:footnote>
  <w:footnote w:type="continuationSeparator" w:id="0">
    <w:p w:rsidR="00B7774F" w:rsidRDefault="00B77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C3"/>
    <w:rsid w:val="3EAB0813"/>
    <w:rsid w:val="BBDFC5B1"/>
    <w:rsid w:val="00255553"/>
    <w:rsid w:val="003809C3"/>
    <w:rsid w:val="00B7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CED630-C0F7-4204-A2DE-96464411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2023-08-17T09:09:00Z</dcterms:created>
  <dcterms:modified xsi:type="dcterms:W3CDTF">2023-08-17T09:09:00Z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