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2248E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02248E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02248E">
      <w:pPr>
        <w:spacing w:line="560" w:lineRule="exact"/>
        <w:jc w:val="center"/>
        <w:outlineLvl w:val="0"/>
        <w:rPr>
          <w:rFonts w:ascii="方正小标宋简体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榄香烯注射剂说明书修订</w:t>
      </w:r>
      <w:r>
        <w:rPr>
          <w:rFonts w:ascii="方正小标宋简体" w:eastAsia="方正小标宋简体" w:hAnsi="Times New Roman" w:hint="eastAsia"/>
          <w:sz w:val="44"/>
          <w:szCs w:val="44"/>
        </w:rPr>
        <w:t>要求</w:t>
      </w:r>
    </w:p>
    <w:p w:rsidR="00000000" w:rsidRDefault="0002248E">
      <w:pPr>
        <w:spacing w:line="560" w:lineRule="exact"/>
        <w:jc w:val="center"/>
        <w:outlineLvl w:val="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（包括</w:t>
      </w:r>
      <w:r>
        <w:rPr>
          <w:rFonts w:ascii="仿宋_GB2312" w:eastAsia="仿宋_GB2312" w:hAnsi="仿宋"/>
          <w:sz w:val="32"/>
          <w:szCs w:val="32"/>
          <w:lang w:val="en"/>
        </w:rPr>
        <w:t>榄香烯乳状注射液</w:t>
      </w:r>
      <w:r>
        <w:rPr>
          <w:rFonts w:ascii="仿宋_GB2312" w:eastAsia="仿宋_GB2312" w:hAnsi="仿宋" w:hint="eastAsia"/>
          <w:sz w:val="32"/>
          <w:szCs w:val="32"/>
          <w:lang w:val="en"/>
        </w:rPr>
        <w:t>、</w:t>
      </w:r>
      <w:r>
        <w:rPr>
          <w:rFonts w:ascii="仿宋_GB2312" w:eastAsia="仿宋_GB2312" w:hAnsi="仿宋"/>
          <w:sz w:val="32"/>
          <w:szCs w:val="32"/>
          <w:lang w:val="en"/>
        </w:rPr>
        <w:t>榄香烯注射液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000000" w:rsidRDefault="0002248E">
      <w:pPr>
        <w:spacing w:line="540" w:lineRule="exact"/>
        <w:ind w:firstLineChars="200" w:firstLine="640"/>
        <w:outlineLvl w:val="0"/>
        <w:rPr>
          <w:rFonts w:ascii="Times New Roman" w:eastAsia="仿宋_GB2312" w:hAnsi="Times New Roman" w:hint="eastAsia"/>
          <w:sz w:val="32"/>
          <w:szCs w:val="32"/>
        </w:rPr>
      </w:pPr>
    </w:p>
    <w:p w:rsidR="00000000" w:rsidRDefault="0002248E">
      <w:pPr>
        <w:spacing w:line="540" w:lineRule="exact"/>
        <w:ind w:firstLineChars="200" w:firstLine="640"/>
        <w:outlineLvl w:val="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（一）【不良反应】应包括</w:t>
      </w:r>
      <w:r>
        <w:rPr>
          <w:rFonts w:ascii="Times New Roman" w:eastAsia="楷体_GB2312" w:hAnsi="Times New Roman"/>
          <w:sz w:val="32"/>
          <w:szCs w:val="32"/>
        </w:rPr>
        <w:t>以下内容</w:t>
      </w:r>
    </w:p>
    <w:p w:rsidR="00000000" w:rsidRDefault="0002248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榄香烯注射剂上市后收到的不良反应报告主要如下，这些报告多来自于自发报告，无法准确估计用药人数，难以计算发生率。</w:t>
      </w:r>
    </w:p>
    <w:p w:rsidR="00000000" w:rsidRDefault="0002248E">
      <w:pPr>
        <w:spacing w:line="54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全身性异常</w:t>
      </w:r>
      <w:r>
        <w:rPr>
          <w:rFonts w:ascii="Times New Roman" w:eastAsia="仿宋_GB2312" w:hAnsi="Times New Roman"/>
          <w:sz w:val="32"/>
          <w:szCs w:val="32"/>
        </w:rPr>
        <w:t>：畏寒、发热、寒战、出汗、胸部不适、胸痛、背痛、周身疼痛、肿胀、乏力等；</w:t>
      </w:r>
    </w:p>
    <w:p w:rsidR="00000000" w:rsidRDefault="0002248E">
      <w:pPr>
        <w:spacing w:line="54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注射部位异常</w:t>
      </w:r>
      <w:r>
        <w:rPr>
          <w:rFonts w:ascii="Times New Roman" w:eastAsia="仿宋_GB2312" w:hAnsi="Times New Roman"/>
          <w:sz w:val="32"/>
          <w:szCs w:val="32"/>
        </w:rPr>
        <w:t>：注射部位疼痛、肿胀、红斑、硬结等；</w:t>
      </w:r>
    </w:p>
    <w:p w:rsidR="00000000" w:rsidRDefault="0002248E">
      <w:pPr>
        <w:spacing w:line="54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血管与淋巴管异常</w:t>
      </w:r>
      <w:r>
        <w:rPr>
          <w:rFonts w:ascii="Times New Roman" w:eastAsia="仿宋_GB2312" w:hAnsi="Times New Roman"/>
          <w:sz w:val="32"/>
          <w:szCs w:val="32"/>
        </w:rPr>
        <w:t>：静脉炎、潮红等；</w:t>
      </w:r>
    </w:p>
    <w:p w:rsidR="00000000" w:rsidRDefault="0002248E">
      <w:pPr>
        <w:spacing w:line="540" w:lineRule="exact"/>
        <w:ind w:firstLineChars="200" w:firstLine="643"/>
        <w:rPr>
          <w:rFonts w:ascii="Times New Roman" w:eastAsia="仿宋_GB2312" w:hAnsi="Times New Roman"/>
          <w:spacing w:val="-11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胃</w:t>
      </w:r>
      <w:r>
        <w:rPr>
          <w:rFonts w:ascii="Times New Roman" w:eastAsia="仿宋_GB2312" w:hAnsi="Times New Roman"/>
          <w:b/>
          <w:spacing w:val="-11"/>
          <w:sz w:val="32"/>
          <w:szCs w:val="32"/>
        </w:rPr>
        <w:t>肠系统异常</w:t>
      </w:r>
      <w:r>
        <w:rPr>
          <w:rFonts w:ascii="Times New Roman" w:eastAsia="仿宋_GB2312" w:hAnsi="Times New Roman"/>
          <w:spacing w:val="-11"/>
          <w:sz w:val="32"/>
          <w:szCs w:val="32"/>
        </w:rPr>
        <w:t>：恶心、呕吐、腹部不适、腹痛、腹胀、腹泻等；</w:t>
      </w:r>
    </w:p>
    <w:p w:rsidR="00000000" w:rsidRDefault="0002248E">
      <w:pPr>
        <w:spacing w:line="540" w:lineRule="exact"/>
        <w:ind w:firstLineChars="200" w:firstLine="643"/>
        <w:rPr>
          <w:rFonts w:ascii="Times New Roman" w:eastAsia="仿宋_GB2312" w:hAnsi="Times New Roman"/>
          <w:spacing w:val="-6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皮肤及皮下组织表现</w:t>
      </w:r>
      <w:r>
        <w:rPr>
          <w:rFonts w:ascii="Times New Roman" w:eastAsia="仿宋_GB2312" w:hAnsi="Times New Roman"/>
          <w:spacing w:val="-6"/>
          <w:sz w:val="32"/>
          <w:szCs w:val="32"/>
        </w:rPr>
        <w:t>：皮疹（包括荨麻疹、斑丘疹、瘙痒性皮疹、丘疹、红斑性发疹）、瘙痒、红斑、皮肤肿胀、皮肤反应等；</w:t>
      </w:r>
    </w:p>
    <w:p w:rsidR="00000000" w:rsidRDefault="0002248E">
      <w:pPr>
        <w:spacing w:line="54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呼吸系统异常</w:t>
      </w:r>
      <w:r>
        <w:rPr>
          <w:rFonts w:ascii="Times New Roman" w:eastAsia="仿宋_GB2312" w:hAnsi="Times New Roman"/>
          <w:sz w:val="32"/>
          <w:szCs w:val="32"/>
        </w:rPr>
        <w:t>：呼吸困难、呼吸急促、窒息感、咳嗽等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:rsidR="00000000" w:rsidRDefault="0002248E">
      <w:pPr>
        <w:spacing w:line="54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神经系统异常</w:t>
      </w:r>
      <w:r>
        <w:rPr>
          <w:rFonts w:ascii="Times New Roman" w:eastAsia="仿宋_GB2312" w:hAnsi="Times New Roman"/>
          <w:sz w:val="32"/>
          <w:szCs w:val="32"/>
        </w:rPr>
        <w:t>：头晕、头痛、感觉减退、震颤等；</w:t>
      </w:r>
    </w:p>
    <w:p w:rsidR="00000000" w:rsidRDefault="0002248E">
      <w:pPr>
        <w:spacing w:line="54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免疫系统异常</w:t>
      </w:r>
      <w:r>
        <w:rPr>
          <w:rFonts w:ascii="Times New Roman" w:eastAsia="仿宋_GB2312" w:hAnsi="Times New Roman"/>
          <w:sz w:val="32"/>
          <w:szCs w:val="32"/>
        </w:rPr>
        <w:t>：超敏反应、类过敏反应、过敏性休克等；</w:t>
      </w:r>
    </w:p>
    <w:p w:rsidR="00000000" w:rsidRDefault="0002248E">
      <w:pPr>
        <w:spacing w:line="54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心脏异常</w:t>
      </w:r>
      <w:r>
        <w:rPr>
          <w:rFonts w:ascii="Times New Roman" w:eastAsia="仿宋_GB2312" w:hAnsi="Times New Roman"/>
          <w:sz w:val="32"/>
          <w:szCs w:val="32"/>
        </w:rPr>
        <w:t>：心悸、心慌等；</w:t>
      </w:r>
    </w:p>
    <w:p w:rsidR="00000000" w:rsidRDefault="0002248E">
      <w:pPr>
        <w:spacing w:line="54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检查异常</w:t>
      </w:r>
      <w:r>
        <w:rPr>
          <w:rFonts w:ascii="Times New Roman" w:eastAsia="仿宋_GB2312" w:hAnsi="Times New Roman"/>
          <w:sz w:val="32"/>
          <w:szCs w:val="32"/>
        </w:rPr>
        <w:t>：血压升高、血压降低、血氧饱和度降低等；</w:t>
      </w:r>
    </w:p>
    <w:p w:rsidR="00000000" w:rsidRDefault="0002248E">
      <w:pPr>
        <w:spacing w:line="54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特别关注的不良反应</w:t>
      </w:r>
    </w:p>
    <w:p w:rsidR="00000000" w:rsidRDefault="0002248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过敏反应：本品可导致过敏反应，严重者可致过敏性休克，可表现为胸闷、胸痛、寒战、畏寒、出汗、潮红、发绀、皮疹、</w:t>
      </w:r>
      <w:r>
        <w:rPr>
          <w:rFonts w:ascii="Times New Roman" w:eastAsia="仿宋_GB2312" w:hAnsi="Times New Roman"/>
          <w:sz w:val="32"/>
          <w:szCs w:val="32"/>
        </w:rPr>
        <w:lastRenderedPageBreak/>
        <w:t>荨麻疹、瘙痒、心悸、呼吸困难等。</w:t>
      </w:r>
    </w:p>
    <w:p w:rsidR="00000000" w:rsidRDefault="0002248E">
      <w:pPr>
        <w:spacing w:line="540" w:lineRule="exact"/>
        <w:ind w:firstLineChars="200" w:firstLine="640"/>
        <w:outlineLvl w:val="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（二）【注意事项】应包括以下内容</w:t>
      </w:r>
    </w:p>
    <w:p w:rsidR="00000000" w:rsidRDefault="0002248E">
      <w:pPr>
        <w:spacing w:line="54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kern w:val="0"/>
          <w:sz w:val="32"/>
          <w:szCs w:val="32"/>
        </w:rPr>
        <w:t>上市后监测到本品有过敏性休克的不良反应报告，建议在有抢救条件的医疗机构使用，用药前应仔细询问患者用药史和过敏史，用药过程中注意观察，一</w:t>
      </w:r>
      <w:r>
        <w:rPr>
          <w:rFonts w:ascii="Times New Roman" w:eastAsia="仿宋_GB2312" w:hAnsi="Times New Roman"/>
          <w:kern w:val="0"/>
          <w:sz w:val="32"/>
          <w:szCs w:val="32"/>
        </w:rPr>
        <w:t>旦出现寒战、呼吸困难、血压下降等症状和体征，应立即停药并及时治疗。</w:t>
      </w:r>
    </w:p>
    <w:p w:rsidR="00000000" w:rsidRDefault="0002248E">
      <w:pPr>
        <w:spacing w:line="54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/>
          <w:kern w:val="0"/>
          <w:sz w:val="32"/>
          <w:szCs w:val="32"/>
        </w:rPr>
        <w:t>外周静脉给药时容易发生注射部位疼痛、肿胀、发红、硬结或静脉炎等，上述症状发生时建议停止给药并及时处理。</w:t>
      </w:r>
    </w:p>
    <w:p w:rsidR="00000000" w:rsidRDefault="0002248E">
      <w:pPr>
        <w:spacing w:line="540" w:lineRule="exact"/>
        <w:ind w:firstLineChars="200" w:firstLine="420"/>
        <w:rPr>
          <w:rFonts w:ascii="Times New Roman" w:hAnsi="Times New Roman"/>
        </w:rPr>
      </w:pPr>
    </w:p>
    <w:p w:rsidR="00000000" w:rsidRDefault="0002248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（注：</w:t>
      </w:r>
      <w:r>
        <w:rPr>
          <w:rFonts w:ascii="Times New Roman" w:eastAsia="仿宋_GB2312" w:hAnsi="Times New Roman"/>
          <w:sz w:val="32"/>
          <w:szCs w:val="32"/>
        </w:rPr>
        <w:t>如原批准说明书的安全性内容较本修订要求内容更全面或更严格的，应保留原批准内容。</w:t>
      </w:r>
      <w:r>
        <w:rPr>
          <w:rFonts w:ascii="Times New Roman" w:eastAsia="仿宋_GB2312" w:hAnsi="Times New Roman"/>
          <w:kern w:val="0"/>
          <w:sz w:val="32"/>
          <w:szCs w:val="32"/>
        </w:rPr>
        <w:t>说明书其他内容如与上述修订要求不一致的，应当一并进行修订。）</w:t>
      </w:r>
    </w:p>
    <w:p w:rsidR="00000000" w:rsidRDefault="0002248E">
      <w:pPr>
        <w:spacing w:line="540" w:lineRule="exact"/>
      </w:pPr>
    </w:p>
    <w:p w:rsidR="0002248E" w:rsidRDefault="0002248E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02248E">
      <w:footerReference w:type="even" r:id="rId6"/>
      <w:footerReference w:type="default" r:id="rId7"/>
      <w:pgSz w:w="11906" w:h="16838"/>
      <w:pgMar w:top="1928" w:right="1531" w:bottom="1814" w:left="1531" w:header="851" w:footer="130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8E" w:rsidRDefault="0002248E">
      <w:r>
        <w:separator/>
      </w:r>
    </w:p>
  </w:endnote>
  <w:endnote w:type="continuationSeparator" w:id="0">
    <w:p w:rsidR="0002248E" w:rsidRDefault="0002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0394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2248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wgwA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BUwg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02248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0394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1270" t="0" r="63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2248E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0394D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5.9pt;margin-top:0;width:77.1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02248E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0394D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8E" w:rsidRDefault="0002248E">
      <w:r>
        <w:separator/>
      </w:r>
    </w:p>
  </w:footnote>
  <w:footnote w:type="continuationSeparator" w:id="0">
    <w:p w:rsidR="0002248E" w:rsidRDefault="00022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D0"/>
    <w:rsid w:val="0002248E"/>
    <w:rsid w:val="00220CD0"/>
    <w:rsid w:val="0080394D"/>
    <w:rsid w:val="3EAB0813"/>
    <w:rsid w:val="7FBF099F"/>
    <w:rsid w:val="DEB7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C9C0AA-F4FD-484A-8054-BFC63756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2023-08-25T09:35:00Z</dcterms:created>
  <dcterms:modified xsi:type="dcterms:W3CDTF">2023-08-25T09:35:00Z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