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right" w:leader="dot" w:pos="9016"/>
        </w:tabs>
        <w:jc w:val="center"/>
        <w:outlineLvl w:val="9"/>
        <w:rPr>
          <w:rFonts w:hint="eastAsia" w:ascii="黑体" w:hAnsi="黑体" w:eastAsia="黑体"/>
          <w:sz w:val="48"/>
          <w:szCs w:val="22"/>
        </w:rPr>
      </w:pPr>
      <w:bookmarkStart w:id="0" w:name="_Toc2100"/>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hint="eastAsia" w:ascii="黑体" w:hAnsi="黑体" w:eastAsia="黑体"/>
          <w:sz w:val="48"/>
          <w:szCs w:val="22"/>
        </w:rPr>
      </w:pPr>
    </w:p>
    <w:p>
      <w:pPr>
        <w:pStyle w:val="6"/>
        <w:tabs>
          <w:tab w:val="right" w:leader="dot" w:pos="9016"/>
        </w:tabs>
        <w:jc w:val="center"/>
        <w:outlineLvl w:val="9"/>
        <w:rPr>
          <w:rFonts w:ascii="黑体" w:hAnsi="黑体" w:eastAsia="黑体"/>
          <w:sz w:val="72"/>
          <w:szCs w:val="32"/>
        </w:rPr>
      </w:pPr>
      <w:r>
        <w:rPr>
          <w:rFonts w:hint="eastAsia" w:ascii="黑体" w:hAnsi="黑体" w:eastAsia="黑体"/>
          <w:sz w:val="72"/>
          <w:szCs w:val="32"/>
        </w:rPr>
        <w:t>广东</w:t>
      </w:r>
      <w:r>
        <w:rPr>
          <w:rFonts w:ascii="黑体" w:hAnsi="黑体" w:eastAsia="黑体"/>
          <w:sz w:val="72"/>
          <w:szCs w:val="32"/>
        </w:rPr>
        <w:t>省食品药品监督管局</w:t>
      </w:r>
      <w:bookmarkEnd w:id="0"/>
      <w:bookmarkStart w:id="1" w:name="_Toc24743"/>
    </w:p>
    <w:bookmarkEnd w:id="1"/>
    <w:p>
      <w:pPr>
        <w:pStyle w:val="6"/>
        <w:tabs>
          <w:tab w:val="right" w:leader="dot" w:pos="9016"/>
        </w:tabs>
        <w:jc w:val="center"/>
        <w:outlineLvl w:val="9"/>
        <w:rPr>
          <w:rFonts w:hint="default" w:ascii="黑体" w:hAnsi="黑体" w:eastAsia="黑体" w:cs="Times New Roman"/>
          <w:kern w:val="2"/>
          <w:sz w:val="72"/>
          <w:szCs w:val="32"/>
          <w:lang w:val="en-US" w:eastAsia="zh-CN" w:bidi="ar-SA"/>
        </w:rPr>
      </w:pPr>
      <w:r>
        <w:rPr>
          <w:rFonts w:hint="eastAsia" w:ascii="黑体" w:hAnsi="黑体" w:eastAsia="黑体" w:cs="Times New Roman"/>
          <w:kern w:val="2"/>
          <w:sz w:val="72"/>
          <w:szCs w:val="32"/>
          <w:lang w:val="en-US" w:eastAsia="zh-CN" w:bidi="ar-SA"/>
        </w:rPr>
        <w:t>企业许可业务申报系统</w:t>
      </w:r>
    </w:p>
    <w:p>
      <w:pPr>
        <w:jc w:val="center"/>
      </w:pPr>
    </w:p>
    <w:p>
      <w:pPr>
        <w:pStyle w:val="6"/>
        <w:tabs>
          <w:tab w:val="right" w:leader="dot" w:pos="9016"/>
        </w:tabs>
        <w:jc w:val="center"/>
        <w:rPr>
          <w:rFonts w:hint="eastAsia" w:ascii="黑体" w:hAnsi="黑体" w:eastAsia="黑体"/>
          <w:sz w:val="48"/>
          <w:szCs w:val="21"/>
        </w:rPr>
      </w:pPr>
      <w:r>
        <w:rPr>
          <w:rFonts w:hint="eastAsia" w:ascii="黑体" w:hAnsi="黑体" w:eastAsia="黑体"/>
          <w:sz w:val="48"/>
          <w:szCs w:val="21"/>
        </w:rPr>
        <w:t>药品经营许可证</w:t>
      </w:r>
      <w:r>
        <w:rPr>
          <w:rFonts w:hint="eastAsia" w:ascii="黑体" w:hAnsi="黑体" w:eastAsia="黑体"/>
          <w:sz w:val="48"/>
          <w:szCs w:val="21"/>
          <w:lang w:val="en-US" w:eastAsia="zh-CN"/>
        </w:rPr>
        <w:t>下载</w:t>
      </w:r>
      <w:r>
        <w:rPr>
          <w:rFonts w:hint="eastAsia" w:ascii="黑体" w:hAnsi="黑体" w:eastAsia="黑体"/>
          <w:sz w:val="48"/>
          <w:szCs w:val="21"/>
        </w:rPr>
        <w:t>操作手册</w:t>
      </w:r>
    </w:p>
    <w:p>
      <w:pPr>
        <w:jc w:val="center"/>
        <w:rPr>
          <w:sz w:val="32"/>
        </w:rPr>
      </w:pPr>
      <w:r>
        <w:rPr>
          <w:rFonts w:hint="eastAsia"/>
          <w:sz w:val="32"/>
        </w:rPr>
        <w:t>(</w:t>
      </w:r>
      <w:r>
        <w:rPr>
          <w:rFonts w:hint="eastAsia"/>
          <w:sz w:val="32"/>
          <w:lang w:val="en-US" w:eastAsia="zh-CN"/>
        </w:rPr>
        <w:t>企业申报端</w:t>
      </w:r>
      <w:r>
        <w:rPr>
          <w:rFonts w:hint="eastAsia"/>
          <w:sz w:val="32"/>
        </w:rPr>
        <w:t>)</w:t>
      </w:r>
    </w:p>
    <w:p>
      <w:pPr>
        <w:jc w:val="center"/>
      </w:pPr>
    </w:p>
    <w:p>
      <w:pPr>
        <w:pStyle w:val="5"/>
      </w:pPr>
    </w:p>
    <w:p>
      <w:pPr>
        <w:pStyle w:val="5"/>
      </w:pPr>
    </w:p>
    <w:p>
      <w:pPr>
        <w:pStyle w:val="5"/>
      </w:pPr>
    </w:p>
    <w:p>
      <w:pPr>
        <w:pStyle w:val="5"/>
      </w:pPr>
    </w:p>
    <w:p>
      <w:pPr>
        <w:pStyle w:val="5"/>
      </w:pPr>
    </w:p>
    <w:p>
      <w:pPr>
        <w:pStyle w:val="5"/>
      </w:pPr>
    </w:p>
    <w:p>
      <w:pPr>
        <w:pStyle w:val="3"/>
        <w:bidi w:val="0"/>
        <w:rPr>
          <w:rFonts w:hint="default" w:eastAsia="宋体"/>
          <w:lang w:val="en-US" w:eastAsia="zh-CN"/>
        </w:rPr>
      </w:pPr>
      <w:bookmarkStart w:id="2" w:name="_Toc18044"/>
      <w:bookmarkStart w:id="3" w:name="_Toc28826"/>
      <w:r>
        <w:rPr>
          <w:rFonts w:hint="eastAsia"/>
          <w:lang w:val="en-US" w:eastAsia="zh-CN"/>
        </w:rPr>
        <w:t>文档说明</w:t>
      </w:r>
      <w:bookmarkEnd w:id="2"/>
    </w:p>
    <w:bookmarkEnd w:id="3"/>
    <w:p>
      <w:pPr>
        <w:pStyle w:val="4"/>
        <w:bidi w:val="0"/>
        <w:rPr>
          <w:rFonts w:hint="default"/>
          <w:lang w:val="en-US" w:eastAsia="zh-CN"/>
        </w:rPr>
      </w:pPr>
      <w:bookmarkStart w:id="4" w:name="_Toc7633"/>
      <w:r>
        <w:rPr>
          <w:rFonts w:hint="eastAsia"/>
          <w:lang w:val="en-US" w:eastAsia="zh-CN"/>
        </w:rPr>
        <w:t>编写目的</w:t>
      </w:r>
      <w:bookmarkEnd w:id="4"/>
    </w:p>
    <w:p>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根据国家药品监督管理局新发布的《药品经营和使用质量监督管理办法》（国家市场监督管理总局令第 84 号）要求，自2024年1月1日起施行。</w:t>
      </w:r>
    </w:p>
    <w:p>
      <w:pPr>
        <w:pStyle w:val="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根据法规要求统一修改药品经营许可证中许可证编号和经营范围的表述。本手册适用于企业下载符合新规的药品经营许可证的操作指引。</w:t>
      </w:r>
    </w:p>
    <w:p>
      <w:pPr>
        <w:pStyle w:val="5"/>
        <w:ind w:left="0" w:leftChars="0" w:firstLine="420" w:firstLineChars="0"/>
        <w:rPr>
          <w:rFonts w:hint="eastAsia" w:ascii="宋体" w:hAnsi="宋体" w:eastAsia="宋体" w:cs="宋体"/>
          <w:sz w:val="24"/>
          <w:szCs w:val="24"/>
          <w:lang w:val="en-US" w:eastAsia="zh-CN"/>
        </w:rPr>
      </w:pPr>
    </w:p>
    <w:p>
      <w:pPr>
        <w:pStyle w:val="3"/>
        <w:bidi w:val="0"/>
        <w:rPr>
          <w:rFonts w:hint="default" w:eastAsia="宋体"/>
          <w:lang w:val="en-US" w:eastAsia="zh-CN"/>
        </w:rPr>
      </w:pPr>
      <w:r>
        <w:rPr>
          <w:rFonts w:hint="eastAsia"/>
          <w:lang w:val="en-US" w:eastAsia="zh-CN"/>
        </w:rPr>
        <w:t>证照下载入口</w:t>
      </w:r>
    </w:p>
    <w:p>
      <w:pPr>
        <w:pStyle w:val="4"/>
        <w:bidi w:val="0"/>
        <w:rPr>
          <w:rFonts w:hint="default"/>
          <w:lang w:val="en-US" w:eastAsia="zh-CN"/>
        </w:rPr>
      </w:pPr>
      <w:r>
        <w:rPr>
          <w:rFonts w:hint="eastAsia"/>
          <w:lang w:val="en-US" w:eastAsia="zh-CN"/>
        </w:rPr>
        <w:t>登录系统</w:t>
      </w:r>
    </w:p>
    <w:p>
      <w:pPr>
        <w:pStyle w:val="2"/>
        <w:ind w:firstLine="420" w:firstLineChars="0"/>
        <w:rPr>
          <w:rFonts w:hint="default" w:ascii="仿宋" w:hAnsi="仿宋" w:eastAsia="仿宋" w:cs="仿宋"/>
          <w:kern w:val="2"/>
          <w:sz w:val="32"/>
          <w:szCs w:val="32"/>
          <w:lang w:val="en-US" w:eastAsia="zh-CN" w:bidi="ar-SA"/>
        </w:rPr>
      </w:pPr>
      <w:bookmarkStart w:id="6" w:name="_GoBack"/>
      <w:bookmarkEnd w:id="6"/>
      <w:r>
        <w:rPr>
          <w:rFonts w:hint="eastAsia"/>
          <w:lang w:val="en-US" w:eastAsia="zh-CN"/>
        </w:rPr>
        <w:t>企业进入广东省药品监督管理局网站（http://mpa.gd.gov.cn/），点击“企业专属网页”进入，扫码登录成功后，在企业专属网页的“业务办理”标签页，点击【业务查询】按钮，即可进入许可业务申报系统的查询页面。</w:t>
      </w:r>
      <w:r>
        <w:rPr>
          <w:rFonts w:hint="eastAsia" w:ascii="仿宋" w:hAnsi="仿宋" w:eastAsia="仿宋" w:cs="仿宋"/>
          <w:kern w:val="2"/>
          <w:sz w:val="32"/>
          <w:szCs w:val="32"/>
          <w:lang w:val="en-US" w:eastAsia="zh-CN" w:bidi="ar-SA"/>
        </w:rPr>
        <w:br w:type="textWrapping"/>
      </w:r>
      <w:r>
        <w:drawing>
          <wp:inline distT="0" distB="0" distL="114300" distR="114300">
            <wp:extent cx="5269230" cy="2684780"/>
            <wp:effectExtent l="9525" t="9525" r="9525"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69230" cy="2684780"/>
                    </a:xfrm>
                    <a:prstGeom prst="rect">
                      <a:avLst/>
                    </a:prstGeom>
                    <a:noFill/>
                    <a:ln>
                      <a:solidFill>
                        <a:schemeClr val="bg2"/>
                      </a:solidFill>
                    </a:ln>
                  </pic:spPr>
                </pic:pic>
              </a:graphicData>
            </a:graphic>
          </wp:inline>
        </w:drawing>
      </w:r>
    </w:p>
    <w:p>
      <w:r>
        <w:drawing>
          <wp:inline distT="0" distB="0" distL="114300" distR="114300">
            <wp:extent cx="5271135" cy="252476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1135" cy="2524760"/>
                    </a:xfrm>
                    <a:prstGeom prst="rect">
                      <a:avLst/>
                    </a:prstGeom>
                    <a:noFill/>
                    <a:ln>
                      <a:noFill/>
                    </a:ln>
                  </pic:spPr>
                </pic:pic>
              </a:graphicData>
            </a:graphic>
          </wp:inline>
        </w:drawing>
      </w:r>
    </w:p>
    <w:p>
      <w:pPr>
        <w:pStyle w:val="2"/>
        <w:rPr>
          <w:rFonts w:hint="default"/>
          <w:lang w:val="en-US" w:eastAsia="zh-CN"/>
        </w:rPr>
      </w:pPr>
      <w:r>
        <w:drawing>
          <wp:inline distT="0" distB="0" distL="114300" distR="114300">
            <wp:extent cx="5268595" cy="2592705"/>
            <wp:effectExtent l="0" t="0" r="4445" b="1333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8"/>
                    <a:stretch>
                      <a:fillRect/>
                    </a:stretch>
                  </pic:blipFill>
                  <pic:spPr>
                    <a:xfrm>
                      <a:off x="0" y="0"/>
                      <a:ext cx="5268595" cy="2592705"/>
                    </a:xfrm>
                    <a:prstGeom prst="rect">
                      <a:avLst/>
                    </a:prstGeom>
                    <a:noFill/>
                    <a:ln>
                      <a:noFill/>
                    </a:ln>
                  </pic:spPr>
                </pic:pic>
              </a:graphicData>
            </a:graphic>
          </wp:inline>
        </w:drawing>
      </w:r>
    </w:p>
    <w:p>
      <w:pPr>
        <w:pStyle w:val="4"/>
        <w:bidi w:val="0"/>
        <w:rPr>
          <w:rFonts w:hint="default"/>
          <w:lang w:val="en-US" w:eastAsia="zh-CN"/>
        </w:rPr>
      </w:pPr>
      <w:r>
        <w:rPr>
          <w:rFonts w:hint="eastAsia"/>
          <w:lang w:val="en-US" w:eastAsia="zh-CN"/>
        </w:rPr>
        <w:t>下载证照</w:t>
      </w:r>
    </w:p>
    <w:p>
      <w:pPr>
        <w:ind w:firstLine="420" w:firstLineChars="0"/>
        <w:rPr>
          <w:rFonts w:hint="eastAsia"/>
          <w:lang w:val="en-US" w:eastAsia="zh-CN"/>
        </w:rPr>
      </w:pPr>
      <w:r>
        <w:rPr>
          <w:rFonts w:hint="eastAsia"/>
          <w:lang w:val="en-US" w:eastAsia="zh-CN"/>
        </w:rPr>
        <w:t>针对之前发放药品经营许可证的最新一笔业务，输入受理号进行查询，查询之后点击【打印】按钮，进入该笔业务的打印详情页面。</w:t>
      </w:r>
    </w:p>
    <w:p>
      <w:pPr>
        <w:pStyle w:val="2"/>
      </w:pPr>
      <w:r>
        <w:drawing>
          <wp:inline distT="0" distB="0" distL="114300" distR="114300">
            <wp:extent cx="5271135" cy="2573655"/>
            <wp:effectExtent l="0" t="0" r="1905" b="1905"/>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9"/>
                    <a:stretch>
                      <a:fillRect/>
                    </a:stretch>
                  </pic:blipFill>
                  <pic:spPr>
                    <a:xfrm>
                      <a:off x="0" y="0"/>
                      <a:ext cx="5271135" cy="2573655"/>
                    </a:xfrm>
                    <a:prstGeom prst="rect">
                      <a:avLst/>
                    </a:prstGeom>
                    <a:noFill/>
                    <a:ln>
                      <a:noFill/>
                    </a:ln>
                  </pic:spPr>
                </pic:pic>
              </a:graphicData>
            </a:graphic>
          </wp:inline>
        </w:drawing>
      </w:r>
    </w:p>
    <w:p>
      <w:pPr>
        <w:bidi w:val="0"/>
        <w:ind w:firstLine="420" w:firstLineChars="0"/>
        <w:rPr>
          <w:rFonts w:hint="eastAsia"/>
          <w:lang w:val="en-US" w:eastAsia="zh-CN"/>
        </w:rPr>
      </w:pPr>
      <w:r>
        <w:rPr>
          <w:rFonts w:hint="eastAsia"/>
          <w:lang w:val="en-US" w:eastAsia="zh-CN"/>
        </w:rPr>
        <w:t>在打印详情页面，点击【打印电子证照】按钮，即可下载最新的药品经营许可证。</w:t>
      </w:r>
    </w:p>
    <w:p>
      <w:pPr>
        <w:pStyle w:val="2"/>
        <w:rPr>
          <w:rFonts w:hint="default" w:eastAsia="宋体"/>
          <w:lang w:val="en-US" w:eastAsia="zh-CN"/>
        </w:rPr>
      </w:pPr>
      <w:r>
        <w:drawing>
          <wp:inline distT="0" distB="0" distL="114300" distR="114300">
            <wp:extent cx="5268595" cy="2592705"/>
            <wp:effectExtent l="0" t="0" r="4445" b="13335"/>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0"/>
                    <a:stretch>
                      <a:fillRect/>
                    </a:stretch>
                  </pic:blipFill>
                  <pic:spPr>
                    <a:xfrm>
                      <a:off x="0" y="0"/>
                      <a:ext cx="5268595" cy="2592705"/>
                    </a:xfrm>
                    <a:prstGeom prst="rect">
                      <a:avLst/>
                    </a:prstGeom>
                    <a:noFill/>
                    <a:ln>
                      <a:noFill/>
                    </a:ln>
                  </pic:spPr>
                </pic:pic>
              </a:graphicData>
            </a:graphic>
          </wp:inline>
        </w:drawing>
      </w:r>
    </w:p>
    <w:p>
      <w:pPr>
        <w:pStyle w:val="3"/>
        <w:bidi w:val="0"/>
        <w:rPr>
          <w:rFonts w:hint="default" w:eastAsia="宋体"/>
          <w:lang w:val="en-US" w:eastAsia="zh-CN"/>
        </w:rPr>
      </w:pPr>
      <w:bookmarkStart w:id="5" w:name="_Toc7618975"/>
      <w:r>
        <w:rPr>
          <w:rFonts w:hint="eastAsia"/>
        </w:rPr>
        <w:t>用户操作问题与解答</w:t>
      </w:r>
      <w:bookmarkEnd w:id="5"/>
    </w:p>
    <w:p>
      <w:pPr>
        <w:pStyle w:val="4"/>
        <w:bidi w:val="0"/>
        <w:rPr>
          <w:rFonts w:hint="eastAsia"/>
          <w:lang w:val="en-US" w:eastAsia="zh-CN"/>
        </w:rPr>
      </w:pPr>
      <w:r>
        <w:rPr>
          <w:rFonts w:hint="eastAsia"/>
          <w:lang w:val="en-US" w:eastAsia="zh-CN"/>
        </w:rPr>
        <w:t>如何判断下载的证照是否为新版药品经营证？</w:t>
      </w:r>
    </w:p>
    <w:p>
      <w:pPr>
        <w:ind w:firstLine="420" w:firstLineChars="0"/>
        <w:rPr>
          <w:rFonts w:hint="eastAsia"/>
          <w:lang w:val="en-US" w:eastAsia="zh-CN"/>
        </w:rPr>
      </w:pPr>
      <w:r>
        <w:rPr>
          <w:rFonts w:hint="eastAsia"/>
          <w:lang w:val="en-US" w:eastAsia="zh-CN"/>
        </w:rPr>
        <w:t>针对新版药品经营证与旧版药品经营证最大区别在于许可证编号位数不同，旧版药品经营许可证为10位，新版药品经营许可证为12位，可根据位数判断是否为新版药品经营证。</w:t>
      </w:r>
    </w:p>
    <w:p>
      <w:pPr>
        <w:pStyle w:val="2"/>
        <w:rPr>
          <w:rFonts w:hint="eastAsia"/>
          <w:lang w:val="en-US" w:eastAsia="zh-CN"/>
        </w:rPr>
      </w:pPr>
    </w:p>
    <w:p>
      <w:pPr>
        <w:pStyle w:val="4"/>
        <w:bidi w:val="0"/>
        <w:rPr>
          <w:rFonts w:hint="eastAsia"/>
          <w:lang w:val="en-US" w:eastAsia="zh-CN"/>
        </w:rPr>
      </w:pPr>
      <w:r>
        <w:rPr>
          <w:rFonts w:hint="eastAsia"/>
          <w:lang w:val="en-US" w:eastAsia="zh-CN"/>
        </w:rPr>
        <w:t>若当前时间已经到了可下载新证的时间，但是下载的证照仍为旧证如何处理？</w:t>
      </w:r>
    </w:p>
    <w:p>
      <w:pPr>
        <w:ind w:firstLine="420" w:firstLineChars="0"/>
        <w:rPr>
          <w:rFonts w:hint="eastAsia"/>
          <w:lang w:val="en-US" w:eastAsia="zh-CN"/>
        </w:rPr>
      </w:pPr>
      <w:r>
        <w:rPr>
          <w:rFonts w:hint="eastAsia"/>
          <w:lang w:val="en-US" w:eastAsia="zh-CN"/>
        </w:rPr>
        <w:t>首先核对是否输入的业务受理号为最新一笔出证的受理号，请基于最新一笔出证的受理号下载新证。</w:t>
      </w:r>
    </w:p>
    <w:p>
      <w:pPr>
        <w:pStyle w:val="2"/>
        <w:rPr>
          <w:rFonts w:hint="eastAsia"/>
          <w:lang w:val="en-US" w:eastAsia="zh-CN"/>
        </w:rPr>
      </w:pPr>
    </w:p>
    <w:p>
      <w:pPr>
        <w:pStyle w:val="4"/>
        <w:bidi w:val="0"/>
        <w:rPr>
          <w:rFonts w:hint="eastAsia"/>
          <w:lang w:val="en-US" w:eastAsia="zh-CN"/>
        </w:rPr>
      </w:pPr>
      <w:r>
        <w:rPr>
          <w:rFonts w:hint="eastAsia"/>
          <w:lang w:val="en-US" w:eastAsia="zh-CN"/>
        </w:rPr>
        <w:t>企业新版药品经营证的证号有什么变化？</w:t>
      </w:r>
    </w:p>
    <w:p>
      <w:pPr>
        <w:ind w:firstLine="420" w:firstLineChars="0"/>
        <w:rPr>
          <w:rFonts w:hint="default"/>
          <w:lang w:val="en-US" w:eastAsia="zh-CN"/>
        </w:rPr>
      </w:pPr>
      <w:r>
        <w:rPr>
          <w:rFonts w:hint="eastAsia"/>
          <w:lang w:val="en-US" w:eastAsia="zh-CN"/>
        </w:rPr>
        <w:t>针对企业新证的证号而言，与旧证号相比，就是在旧证号中间位数增加两个0。如某企业旧证号为粤AA0200001，则新证号为粤AA020</w:t>
      </w:r>
      <w:r>
        <w:rPr>
          <w:rFonts w:hint="eastAsia"/>
          <w:color w:val="FF0000"/>
          <w:lang w:val="en-US" w:eastAsia="zh-CN"/>
        </w:rPr>
        <w:t>00</w:t>
      </w:r>
      <w:r>
        <w:rPr>
          <w:rFonts w:hint="eastAsia"/>
          <w:lang w:val="en-US" w:eastAsia="zh-CN"/>
        </w:rPr>
        <w:t>0001。</w:t>
      </w:r>
    </w:p>
    <w:p>
      <w:pPr>
        <w:pStyle w:val="2"/>
      </w:pPr>
    </w:p>
    <w:p>
      <w:pPr>
        <w:pStyle w:val="4"/>
        <w:bidi w:val="0"/>
        <w:rPr>
          <w:rFonts w:hint="eastAsia"/>
          <w:lang w:val="en-US" w:eastAsia="zh-CN"/>
        </w:rPr>
      </w:pPr>
      <w:r>
        <w:rPr>
          <w:rFonts w:hint="eastAsia"/>
          <w:lang w:val="en-US" w:eastAsia="zh-CN"/>
        </w:rPr>
        <w:t>若下载的证照为新证，但是部分信息有误如何处理？</w:t>
      </w:r>
    </w:p>
    <w:p>
      <w:pPr>
        <w:ind w:firstLine="420" w:firstLineChars="0"/>
        <w:rPr>
          <w:rFonts w:hint="default"/>
          <w:lang w:val="en-US" w:eastAsia="zh-CN"/>
        </w:rPr>
      </w:pPr>
      <w:r>
        <w:rPr>
          <w:rFonts w:hint="eastAsia"/>
          <w:lang w:val="en-US" w:eastAsia="zh-CN"/>
        </w:rPr>
        <w:t>若发现证照信息有误，请及时与广东省药品监督管理局联系。</w:t>
      </w:r>
    </w:p>
    <w:p>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87ED"/>
    <w:multiLevelType w:val="multilevel"/>
    <w:tmpl w:val="047487ED"/>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NGYyM2JiNjQ3NjM3M2RhMWQ1NzJiOTE0ODNkZTgifQ=="/>
  </w:docVars>
  <w:rsids>
    <w:rsidRoot w:val="354F36C0"/>
    <w:rsid w:val="354F36C0"/>
    <w:rsid w:val="3EEC344B"/>
    <w:rsid w:val="7115178D"/>
    <w:rsid w:val="74B52C24"/>
    <w:rsid w:val="761D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numPr>
        <w:ilvl w:val="0"/>
        <w:numId w:val="1"/>
      </w:numPr>
      <w:spacing w:before="120" w:after="60" w:line="240" w:lineRule="atLeast"/>
      <w:ind w:left="432" w:hanging="432"/>
      <w:jc w:val="left"/>
      <w:outlineLvl w:val="0"/>
    </w:pPr>
    <w:rPr>
      <w:rFonts w:ascii="宋体" w:hAnsi="宋体"/>
      <w:b/>
      <w:snapToGrid w:val="0"/>
      <w:kern w:val="0"/>
      <w:sz w:val="30"/>
      <w:szCs w:val="20"/>
    </w:rPr>
  </w:style>
  <w:style w:type="paragraph" w:styleId="4">
    <w:name w:val="heading 2"/>
    <w:basedOn w:val="3"/>
    <w:next w:val="1"/>
    <w:qFormat/>
    <w:uiPriority w:val="0"/>
    <w:pPr>
      <w:numPr>
        <w:ilvl w:val="1"/>
        <w:numId w:val="1"/>
      </w:numPr>
      <w:outlineLvl w:val="1"/>
    </w:pPr>
    <w:rPr>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styleId="6">
    <w:name w:val="toc 1"/>
    <w:basedOn w:val="1"/>
    <w:next w:val="1"/>
    <w:qFormat/>
    <w:uiPriority w:val="39"/>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2023-12-25T08:26:00Z</dcterms:created>
  <dc:creator>Eloise</dc:creator>
  <cp:lastModifiedBy>Eloise</cp:lastModifiedBy>
  <dcterms:modified xsi:type="dcterms:W3CDTF">2023-12-25T09:10:48Z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8B5813CDA77D4A6FA92EFC52CF991D1B_11</vt:lpwstr>
  </property>
</Properties>
</file>