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82" w:rsidRDefault="009A4582" w:rsidP="009A4582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9A4582" w:rsidRDefault="009A4582" w:rsidP="009A4582">
      <w:pPr>
        <w:pStyle w:val="2"/>
        <w:ind w:firstLine="640"/>
        <w:jc w:val="center"/>
        <w:rPr>
          <w:rFonts w:hint="eastAsia"/>
          <w:lang w:val="en"/>
        </w:rPr>
      </w:pPr>
    </w:p>
    <w:p w:rsidR="009A4582" w:rsidRDefault="009A4582" w:rsidP="009A4582">
      <w:pPr>
        <w:spacing w:line="60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斑秃丸非处方药说明书修订要求</w:t>
      </w:r>
    </w:p>
    <w:p w:rsidR="009A4582" w:rsidRDefault="009A4582" w:rsidP="009A4582">
      <w:pPr>
        <w:pStyle w:val="2"/>
        <w:ind w:firstLine="640"/>
        <w:jc w:val="center"/>
        <w:rPr>
          <w:rFonts w:hint="eastAsia"/>
        </w:rPr>
      </w:pPr>
    </w:p>
    <w:p w:rsidR="009A4582" w:rsidRDefault="009A4582" w:rsidP="009A4582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一、【不良反应】项应当增加：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监测数据显示，本品可见以下不良反应报告：恶心、呕吐、腹痛、腹泻、腹部不适、便秘、口干、头晕、皮疹、瘙痒、肝功能异常等。</w:t>
      </w:r>
    </w:p>
    <w:p w:rsidR="009A4582" w:rsidRDefault="009A4582" w:rsidP="009A4582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二、【禁忌】项应当增加：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1.</w:t>
      </w:r>
      <w:r>
        <w:rPr>
          <w:rFonts w:ascii="Times New Roman" w:eastAsia="仿宋_GB2312"/>
        </w:rPr>
        <w:t>孕妇禁用。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2.</w:t>
      </w:r>
      <w:r>
        <w:rPr>
          <w:rFonts w:ascii="Times New Roman" w:eastAsia="仿宋_GB2312"/>
        </w:rPr>
        <w:t>肝功能不全者禁用。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3.</w:t>
      </w:r>
      <w:r>
        <w:rPr>
          <w:rFonts w:ascii="Times New Roman" w:eastAsia="仿宋_GB2312"/>
        </w:rPr>
        <w:t>对本品及所含成份过敏者禁用。</w:t>
      </w:r>
    </w:p>
    <w:p w:rsidR="009A4582" w:rsidRDefault="009A4582" w:rsidP="009A4582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三、【注意事项】项应当修订为：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1.</w:t>
      </w:r>
      <w:r>
        <w:rPr>
          <w:rFonts w:ascii="Times New Roman" w:eastAsia="仿宋_GB2312"/>
        </w:rPr>
        <w:t>忌食辛辣、生冷、油腻食物。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2.</w:t>
      </w:r>
      <w:r>
        <w:rPr>
          <w:rFonts w:ascii="Times New Roman" w:eastAsia="仿宋_GB2312"/>
        </w:rPr>
        <w:t>感冒发热病人不宜服用。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3.</w:t>
      </w:r>
      <w:r>
        <w:rPr>
          <w:rFonts w:ascii="Times New Roman" w:eastAsia="仿宋_GB2312"/>
        </w:rPr>
        <w:t>本品不适用假发斑秃（患处头皮萎缩，不见毛囊口）及脂溢性皮炎。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4.</w:t>
      </w:r>
      <w:r>
        <w:rPr>
          <w:rFonts w:ascii="Times New Roman" w:eastAsia="仿宋_GB2312"/>
        </w:rPr>
        <w:t>本品宜饭后服用。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5.</w:t>
      </w:r>
      <w:r>
        <w:rPr>
          <w:rFonts w:ascii="Times New Roman" w:eastAsia="仿宋_GB2312"/>
        </w:rPr>
        <w:t>服药期间应当加强监测，如发现肝生化指标异常或出现全身乏力、食欲不振、厌油、恶心、上腹胀痛、尿黄、目黄、皮肤黄染等可能与肝损害有关的临床表现时，应当立即停药并到医院就诊。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6.</w:t>
      </w:r>
      <w:r>
        <w:rPr>
          <w:rFonts w:ascii="Times New Roman" w:eastAsia="仿宋_GB2312"/>
        </w:rPr>
        <w:t>有药物性肝损伤史者、肝功能异常者慎用，确需使用应当在医师指导下使用，并监测肝生化指标。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7.</w:t>
      </w:r>
      <w:r>
        <w:rPr>
          <w:rFonts w:ascii="Times New Roman" w:eastAsia="仿宋_GB2312"/>
        </w:rPr>
        <w:t>严格按用法用量服用，长期连续服用应当向医师或药师咨询。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lastRenderedPageBreak/>
        <w:t>8.</w:t>
      </w:r>
      <w:r>
        <w:rPr>
          <w:rFonts w:ascii="Times New Roman" w:eastAsia="仿宋_GB2312"/>
        </w:rPr>
        <w:t>应当避免与有肝毒性的药物联合使用。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9.</w:t>
      </w:r>
      <w:r>
        <w:rPr>
          <w:rFonts w:ascii="Times New Roman" w:eastAsia="仿宋_GB2312"/>
        </w:rPr>
        <w:t>高血压、心脏病、肝病、肾病等患者应当在医师指导下服用。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10.</w:t>
      </w:r>
      <w:r>
        <w:rPr>
          <w:rFonts w:ascii="Times New Roman" w:eastAsia="仿宋_GB2312"/>
        </w:rPr>
        <w:t>服药</w:t>
      </w:r>
      <w:r>
        <w:rPr>
          <w:rFonts w:ascii="Times New Roman" w:eastAsia="仿宋_GB2312"/>
        </w:rPr>
        <w:t>2</w:t>
      </w:r>
      <w:r>
        <w:rPr>
          <w:rFonts w:ascii="Times New Roman" w:eastAsia="仿宋_GB2312"/>
        </w:rPr>
        <w:t>周症状无缓解，应当去医院就诊。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11.</w:t>
      </w:r>
      <w:r>
        <w:rPr>
          <w:rFonts w:ascii="Times New Roman" w:eastAsia="仿宋_GB2312"/>
        </w:rPr>
        <w:t>过敏体质者慎用。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12.</w:t>
      </w:r>
      <w:r>
        <w:rPr>
          <w:rFonts w:ascii="Times New Roman" w:eastAsia="仿宋_GB2312"/>
        </w:rPr>
        <w:t>本品性状发生改变时禁止使用。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13.</w:t>
      </w:r>
      <w:r>
        <w:rPr>
          <w:rFonts w:ascii="Times New Roman" w:eastAsia="仿宋_GB2312"/>
        </w:rPr>
        <w:t>请将本品放在儿童不能接触的地方。</w:t>
      </w:r>
    </w:p>
    <w:p w:rsidR="009A4582" w:rsidRDefault="009A4582" w:rsidP="009A4582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14.</w:t>
      </w:r>
      <w:r>
        <w:rPr>
          <w:rFonts w:ascii="Times New Roman" w:eastAsia="仿宋_GB2312"/>
        </w:rPr>
        <w:t>如正在使用其他药品，使用本品前请咨询医师或药师。</w:t>
      </w:r>
    </w:p>
    <w:p w:rsidR="00D67046" w:rsidRPr="009A4582" w:rsidRDefault="00D67046">
      <w:bookmarkStart w:id="0" w:name="_GoBack"/>
      <w:bookmarkEnd w:id="0"/>
    </w:p>
    <w:sectPr w:rsidR="00D67046" w:rsidRPr="009A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D"/>
    <w:rsid w:val="003C7FED"/>
    <w:rsid w:val="009A4582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459BA-9BDE-4F5B-ADBC-F661E09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Body Text Indent"/>
    <w:basedOn w:val="a"/>
    <w:link w:val="Char"/>
    <w:uiPriority w:val="99"/>
    <w:semiHidden/>
    <w:unhideWhenUsed/>
    <w:rsid w:val="009A458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9A4582"/>
  </w:style>
  <w:style w:type="paragraph" w:styleId="2">
    <w:name w:val="Body Text First Indent 2"/>
    <w:basedOn w:val="a5"/>
    <w:link w:val="2Char"/>
    <w:qFormat/>
    <w:rsid w:val="009A4582"/>
    <w:pPr>
      <w:spacing w:after="0" w:line="600" w:lineRule="exact"/>
      <w:ind w:leftChars="0" w:left="0" w:firstLineChars="200" w:firstLine="420"/>
    </w:pPr>
    <w:rPr>
      <w:rFonts w:ascii="仿宋_GB2312" w:eastAsia="黑体" w:hAnsi="Times New Roman" w:cs="Times New Roman"/>
      <w:sz w:val="32"/>
      <w:szCs w:val="24"/>
    </w:rPr>
  </w:style>
  <w:style w:type="character" w:customStyle="1" w:styleId="2Char">
    <w:name w:val="正文首行缩进 2 Char"/>
    <w:basedOn w:val="Char"/>
    <w:link w:val="2"/>
    <w:rsid w:val="009A4582"/>
    <w:rPr>
      <w:rFonts w:ascii="仿宋_GB2312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2024-02-06T00:43:00Z</dcterms:created>
  <dcterms:modified xsi:type="dcterms:W3CDTF">2024-02-06T00:43:00Z</dcterms:modified>
</cp:coreProperties>
</file>