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56318" w:rsidP="00E36CB3">
      <w:pPr>
        <w:rPr>
          <w:rFonts w:ascii="黑体" w:eastAsia="黑体" w:hAnsi="华文仿宋" w:hint="eastAsia"/>
          <w:sz w:val="32"/>
          <w:szCs w:val="32"/>
        </w:rPr>
      </w:pPr>
      <w:r>
        <w:rPr>
          <w:rFonts w:ascii="黑体" w:eastAsia="黑体" w:hAnsi="华文仿宋" w:hint="eastAsia"/>
          <w:sz w:val="32"/>
          <w:szCs w:val="32"/>
        </w:rPr>
        <w:t>附件</w:t>
      </w:r>
    </w:p>
    <w:p w:rsidR="00000000" w:rsidRDefault="00F56318">
      <w:pPr>
        <w:spacing w:line="560" w:lineRule="exact"/>
        <w:jc w:val="center"/>
        <w:rPr>
          <w:rFonts w:ascii="仿宋_GB2312" w:eastAsia="仿宋_GB2312" w:hAnsi="华文仿宋" w:hint="eastAsia"/>
          <w:sz w:val="32"/>
          <w:szCs w:val="32"/>
        </w:rPr>
      </w:pPr>
    </w:p>
    <w:p w:rsidR="00000000" w:rsidRDefault="00F56318">
      <w:pPr>
        <w:adjustRightInd w:val="0"/>
        <w:spacing w:line="56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替硝唑注射剂说明书修订</w:t>
      </w:r>
      <w:r>
        <w:rPr>
          <w:rFonts w:ascii="方正小标宋简体" w:eastAsia="方正小标宋简体" w:hAnsi="方正小标宋简体" w:cs="方正小标宋简体" w:hint="eastAsia"/>
          <w:bCs/>
          <w:sz w:val="44"/>
          <w:szCs w:val="44"/>
        </w:rPr>
        <w:t>要求</w:t>
      </w:r>
    </w:p>
    <w:p w:rsidR="00000000" w:rsidRDefault="00F56318">
      <w:pPr>
        <w:adjustRightInd w:val="0"/>
        <w:spacing w:line="560" w:lineRule="exact"/>
        <w:jc w:val="center"/>
        <w:rPr>
          <w:rFonts w:ascii="方正小标宋简体" w:eastAsia="方正小标宋简体" w:hAnsi="方正小标宋简体" w:cs="方正小标宋简体" w:hint="eastAsia"/>
          <w:bCs/>
          <w:sz w:val="44"/>
          <w:szCs w:val="44"/>
        </w:rPr>
      </w:pPr>
    </w:p>
    <w:p w:rsidR="00000000" w:rsidRDefault="00E36CB3">
      <w:pPr>
        <w:autoSpaceDE w:val="0"/>
        <w:autoSpaceDN w:val="0"/>
        <w:adjustRightInd w:val="0"/>
        <w:spacing w:line="560" w:lineRule="exact"/>
        <w:ind w:firstLineChars="200" w:firstLine="420"/>
        <w:rPr>
          <w:rFonts w:ascii="黑体" w:eastAsia="黑体" w:hAnsi="黑体" w:cs="黑体" w:hint="eastAsia"/>
          <w:bCs/>
          <w:sz w:val="32"/>
          <w:szCs w:val="32"/>
        </w:rPr>
      </w:pPr>
      <w:r>
        <w:rPr>
          <w:noProof/>
          <w:kern w:val="0"/>
        </w:rPr>
        <mc:AlternateContent>
          <mc:Choice Requires="wps">
            <w:drawing>
              <wp:anchor distT="0" distB="0" distL="114300" distR="114300" simplePos="0" relativeHeight="251658240" behindDoc="0" locked="0" layoutInCell="1" allowOverlap="1">
                <wp:simplePos x="0" y="0"/>
                <wp:positionH relativeFrom="column">
                  <wp:posOffset>162560</wp:posOffset>
                </wp:positionH>
                <wp:positionV relativeFrom="paragraph">
                  <wp:posOffset>384175</wp:posOffset>
                </wp:positionV>
                <wp:extent cx="5313680" cy="1433830"/>
                <wp:effectExtent l="10795" t="13970" r="9525" b="9525"/>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680" cy="1433830"/>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F56318">
                            <w:pPr>
                              <w:spacing w:line="400" w:lineRule="exact"/>
                              <w:ind w:firstLineChars="200" w:firstLine="600"/>
                              <w:rPr>
                                <w:rFonts w:ascii="黑体" w:eastAsia="黑体"/>
                                <w:bCs/>
                                <w:sz w:val="30"/>
                                <w:szCs w:val="30"/>
                              </w:rPr>
                            </w:pPr>
                            <w:r>
                              <w:rPr>
                                <w:rFonts w:ascii="黑体" w:eastAsia="黑体" w:hAnsi="宋体" w:hint="eastAsia"/>
                                <w:sz w:val="30"/>
                                <w:szCs w:val="30"/>
                              </w:rPr>
                              <w:t>本品存在潜在的致癌风险。</w:t>
                            </w:r>
                            <w:r>
                              <w:rPr>
                                <w:rFonts w:ascii="黑体" w:eastAsia="黑体" w:hint="eastAsia"/>
                                <w:bCs/>
                                <w:sz w:val="30"/>
                                <w:szCs w:val="30"/>
                              </w:rPr>
                              <w:t>在另一种硝基咪唑类药物——甲硝唑对大鼠和小鼠的长期性治疗试验中发现其有致癌性。虽然在替硝唑试验中未见有类似的数据报道，但是这两种药物有结构关联性，并具有类似的生物学效应。</w:t>
                            </w:r>
                          </w:p>
                          <w:p w:rsidR="00000000" w:rsidRDefault="00F56318">
                            <w:pPr>
                              <w:spacing w:line="400" w:lineRule="exact"/>
                              <w:ind w:firstLineChars="200" w:firstLine="600"/>
                              <w:rPr>
                                <w:rFonts w:ascii="黑体" w:eastAsia="黑体"/>
                                <w:sz w:val="30"/>
                                <w:szCs w:val="30"/>
                              </w:rPr>
                            </w:pPr>
                            <w:r>
                              <w:rPr>
                                <w:rFonts w:ascii="黑体" w:eastAsia="黑体" w:hint="eastAsia"/>
                                <w:bCs/>
                                <w:sz w:val="30"/>
                                <w:szCs w:val="30"/>
                              </w:rPr>
                              <w:t>本品应仅限用于治疗批准的适应症。</w:t>
                            </w:r>
                            <w:r>
                              <w:rPr>
                                <w:rFonts w:ascii="黑体" w:eastAsia="黑体" w:hint="eastAsia"/>
                                <w:bCs/>
                                <w:color w:val="000000"/>
                                <w:sz w:val="30"/>
                                <w:szCs w:val="30"/>
                              </w:rPr>
                              <w:t>避免长期使用。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12.8pt;margin-top:30.25pt;width:418.4pt;height:1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">
                <v:textbox>
                  <w:txbxContent>
                    <w:p w:rsidR="00000000" w:rsidRDefault="00F56318">
                      <w:pPr>
                        <w:spacing w:line="400" w:lineRule="exact"/>
                        <w:ind w:firstLineChars="200" w:firstLine="600"/>
                        <w:rPr>
                          <w:rFonts w:ascii="黑体" w:eastAsia="黑体"/>
                          <w:bCs/>
                          <w:sz w:val="30"/>
                          <w:szCs w:val="30"/>
                        </w:rPr>
                      </w:pPr>
                      <w:r>
                        <w:rPr>
                          <w:rFonts w:ascii="黑体" w:eastAsia="黑体" w:hAnsi="宋体" w:hint="eastAsia"/>
                          <w:sz w:val="30"/>
                          <w:szCs w:val="30"/>
                        </w:rPr>
                        <w:t>本品存在潜在的致癌风险。</w:t>
                      </w:r>
                      <w:r>
                        <w:rPr>
                          <w:rFonts w:ascii="黑体" w:eastAsia="黑体" w:hint="eastAsia"/>
                          <w:bCs/>
                          <w:sz w:val="30"/>
                          <w:szCs w:val="30"/>
                        </w:rPr>
                        <w:t>在另一种硝基咪唑类药物——甲硝唑对大鼠和小鼠的长期性治疗试验中发现其有致癌性。虽然在替硝唑试验中未见有类似的数据报道，但是这两种药物有结构关联性，并具有类似的生物学效应。</w:t>
                      </w:r>
                    </w:p>
                    <w:p w:rsidR="00000000" w:rsidRDefault="00F56318">
                      <w:pPr>
                        <w:spacing w:line="400" w:lineRule="exact"/>
                        <w:ind w:firstLineChars="200" w:firstLine="600"/>
                        <w:rPr>
                          <w:rFonts w:ascii="黑体" w:eastAsia="黑体"/>
                          <w:sz w:val="30"/>
                          <w:szCs w:val="30"/>
                        </w:rPr>
                      </w:pPr>
                      <w:r>
                        <w:rPr>
                          <w:rFonts w:ascii="黑体" w:eastAsia="黑体" w:hint="eastAsia"/>
                          <w:bCs/>
                          <w:sz w:val="30"/>
                          <w:szCs w:val="30"/>
                        </w:rPr>
                        <w:t>本品应仅限用于治疗批准的适应症。</w:t>
                      </w:r>
                      <w:r>
                        <w:rPr>
                          <w:rFonts w:ascii="黑体" w:eastAsia="黑体" w:hint="eastAsia"/>
                          <w:bCs/>
                          <w:color w:val="000000"/>
                          <w:sz w:val="30"/>
                          <w:szCs w:val="30"/>
                        </w:rPr>
                        <w:t>避免长期使用。</w:t>
                      </w:r>
                    </w:p>
                  </w:txbxContent>
                </v:textbox>
              </v:shape>
            </w:pict>
          </mc:Fallback>
        </mc:AlternateContent>
      </w:r>
      <w:r w:rsidR="00F56318">
        <w:rPr>
          <w:rFonts w:ascii="黑体" w:eastAsia="黑体" w:hAnsi="黑体" w:cs="黑体" w:hint="eastAsia"/>
          <w:bCs/>
          <w:sz w:val="32"/>
          <w:szCs w:val="32"/>
        </w:rPr>
        <w:t>一、增加黑框警告</w:t>
      </w:r>
    </w:p>
    <w:p w:rsidR="00000000" w:rsidRDefault="00F56318">
      <w:pPr>
        <w:autoSpaceDE w:val="0"/>
        <w:autoSpaceDN w:val="0"/>
        <w:adjustRightInd w:val="0"/>
        <w:jc w:val="center"/>
      </w:pPr>
    </w:p>
    <w:p w:rsidR="00000000" w:rsidRDefault="00F56318">
      <w:pPr>
        <w:autoSpaceDE w:val="0"/>
        <w:autoSpaceDN w:val="0"/>
        <w:adjustRightInd w:val="0"/>
        <w:jc w:val="center"/>
      </w:pPr>
    </w:p>
    <w:p w:rsidR="00000000" w:rsidRDefault="00F56318">
      <w:pPr>
        <w:autoSpaceDE w:val="0"/>
        <w:autoSpaceDN w:val="0"/>
        <w:adjustRightInd w:val="0"/>
        <w:snapToGrid w:val="0"/>
        <w:spacing w:line="360" w:lineRule="auto"/>
        <w:rPr>
          <w:b/>
        </w:rPr>
      </w:pPr>
    </w:p>
    <w:p w:rsidR="00000000" w:rsidRDefault="00F56318">
      <w:pPr>
        <w:autoSpaceDE w:val="0"/>
        <w:autoSpaceDN w:val="0"/>
        <w:adjustRightInd w:val="0"/>
        <w:snapToGrid w:val="0"/>
        <w:spacing w:line="360" w:lineRule="auto"/>
        <w:rPr>
          <w:b/>
        </w:rPr>
      </w:pPr>
    </w:p>
    <w:p w:rsidR="00000000" w:rsidRDefault="00F56318">
      <w:pPr>
        <w:autoSpaceDE w:val="0"/>
        <w:autoSpaceDN w:val="0"/>
        <w:adjustRightInd w:val="0"/>
        <w:snapToGrid w:val="0"/>
        <w:spacing w:line="360" w:lineRule="auto"/>
        <w:rPr>
          <w:b/>
        </w:rPr>
      </w:pPr>
    </w:p>
    <w:p w:rsidR="00000000" w:rsidRDefault="00F56318">
      <w:pPr>
        <w:autoSpaceDE w:val="0"/>
        <w:autoSpaceDN w:val="0"/>
        <w:adjustRightInd w:val="0"/>
        <w:rPr>
          <w:rFonts w:ascii="黑体" w:eastAsia="黑体" w:hAnsi="黑体" w:cs="黑体" w:hint="eastAsia"/>
          <w:bCs/>
          <w:sz w:val="32"/>
          <w:szCs w:val="32"/>
        </w:rPr>
      </w:pPr>
    </w:p>
    <w:p w:rsidR="00000000" w:rsidRDefault="00F56318">
      <w:pPr>
        <w:overflowPunct w:val="0"/>
        <w:adjustRightInd w:val="0"/>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二、【不良反应】项下修订为以下内容</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在本品治疗期间报道过以下不良反应：</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胃肠系统：恶心、呕吐、腹痛、腹部不适、腹胀、腹泻、反酸或食物反流、呃逆、</w:t>
      </w:r>
      <w:r>
        <w:rPr>
          <w:rFonts w:eastAsia="仿宋_GB2312"/>
          <w:kern w:val="0"/>
          <w:sz w:val="32"/>
          <w:szCs w:val="32"/>
        </w:rPr>
        <w:t>消化不良、食欲减退、便秘、口唇麻木、口腔异味、口干、口腔炎。</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皮肤及皮下组织：皮疹（如红斑、斑丘疹、水疱疹等）、瘙痒、皮肤肿胀、皮肤潮红、多汗、荨麻疹、血管性水肿、过敏性紫癜、多形性红斑、剥脱性皮炎、急性全身性发疹性脓疱病、史蒂文斯</w:t>
      </w:r>
      <w:r>
        <w:rPr>
          <w:rFonts w:eastAsia="仿宋_GB2312"/>
          <w:kern w:val="0"/>
          <w:sz w:val="32"/>
          <w:szCs w:val="32"/>
        </w:rPr>
        <w:t>-</w:t>
      </w:r>
      <w:r>
        <w:rPr>
          <w:rFonts w:eastAsia="仿宋_GB2312"/>
          <w:kern w:val="0"/>
          <w:sz w:val="32"/>
          <w:szCs w:val="32"/>
        </w:rPr>
        <w:t>约翰逊综合征。</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精神及神经系统：头晕、头痛、味觉倒错、感觉减退、周围神经病变、烧灼感、</w:t>
      </w:r>
      <w:r>
        <w:rPr>
          <w:rFonts w:eastAsia="仿宋_GB2312"/>
          <w:color w:val="000000"/>
          <w:kern w:val="0"/>
          <w:sz w:val="32"/>
          <w:szCs w:val="32"/>
        </w:rPr>
        <w:t>抽搐、</w:t>
      </w:r>
      <w:r>
        <w:rPr>
          <w:rFonts w:eastAsia="仿宋_GB2312"/>
          <w:kern w:val="0"/>
          <w:sz w:val="32"/>
          <w:szCs w:val="32"/>
        </w:rPr>
        <w:t>震颤、惊厥发作、意识丧失、晕厥、共济失调、言语障碍、嗜睡、困倦、失眠、烦躁不安、意识模糊状态、躁动、谵妄、幻觉。</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全身性及给药部位反应：胸部不适、胸痛、寒战、发热、水</w:t>
      </w:r>
      <w:r>
        <w:rPr>
          <w:rFonts w:eastAsia="仿宋_GB2312"/>
          <w:kern w:val="0"/>
          <w:sz w:val="32"/>
          <w:szCs w:val="32"/>
        </w:rPr>
        <w:lastRenderedPageBreak/>
        <w:t>肿、乏力、不适、疲劳</w:t>
      </w:r>
      <w:r>
        <w:rPr>
          <w:rFonts w:eastAsia="仿宋_GB2312"/>
          <w:kern w:val="0"/>
          <w:sz w:val="32"/>
          <w:szCs w:val="32"/>
        </w:rPr>
        <w:t>、注射部位反应（静脉炎、疼痛、肿胀、皮疹、瘙痒等）。</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免疫系统：过敏反应、过敏性休克，有死亡病例报告。</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心血管系统：心悸、心动过速、血管性疼痛、血压降低、血压升高。</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呼吸系统：呼吸困难、呼吸急促、窒息感、喉水肿、咳嗽、鼻塞、咽干、口咽疼痛。</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眼部：视觉损害、视物模糊、眼睑水肿、眼睑瘙痒、眼眶周围水肿、结膜充血。</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骨骼肌肉系统：肌无力、肌痛、肌痉挛、关节痛。</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肝胆系统：肝功能异常、肝酶升高。</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泌尿系统：尿频、血尿、尿液发黑。</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血液系统：白细胞减少、粒细胞减少症、血小板减少症。</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其他：眩晕、耳鸣、听觉减退、双硫</w:t>
      </w:r>
      <w:r>
        <w:rPr>
          <w:rFonts w:eastAsia="仿宋_GB2312"/>
          <w:kern w:val="0"/>
          <w:sz w:val="32"/>
          <w:szCs w:val="32"/>
        </w:rPr>
        <w:t>仑样反应、念珠菌感染、外阴阴道瘙痒、肿胀。</w:t>
      </w:r>
    </w:p>
    <w:p w:rsidR="00000000" w:rsidRDefault="00F56318">
      <w:pPr>
        <w:overflowPunct w:val="0"/>
        <w:adjustRightInd w:val="0"/>
        <w:snapToGrid w:val="0"/>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三、【禁忌】项下修订为以下内容：</w:t>
      </w:r>
      <w:r>
        <w:rPr>
          <w:rFonts w:ascii="黑体" w:eastAsia="黑体" w:hAnsi="黑体" w:cs="黑体" w:hint="eastAsia"/>
          <w:bCs/>
          <w:sz w:val="32"/>
          <w:szCs w:val="32"/>
        </w:rPr>
        <w:t xml:space="preserve"> </w:t>
      </w:r>
    </w:p>
    <w:p w:rsidR="00000000" w:rsidRDefault="00F56318">
      <w:pPr>
        <w:overflowPunct w:val="0"/>
        <w:adjustRightInd w:val="0"/>
        <w:snapToGrid w:val="0"/>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w:t>
      </w:r>
      <w:r>
        <w:rPr>
          <w:rFonts w:eastAsia="仿宋_GB2312"/>
          <w:kern w:val="0"/>
          <w:sz w:val="32"/>
          <w:szCs w:val="32"/>
        </w:rPr>
        <w:t>对替硝唑或吡咯类药物过敏者、对本品中其他成份过敏者以及器质性中枢神经疾病患者禁用。</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w:t>
      </w:r>
      <w:r>
        <w:rPr>
          <w:rFonts w:eastAsia="仿宋_GB2312"/>
          <w:kern w:val="0"/>
          <w:sz w:val="32"/>
          <w:szCs w:val="32"/>
        </w:rPr>
        <w:t>与其他结构相似药物一样，有血液不调或恶病质史的患者禁用。尽管目前的动物和临床研究中尚</w:t>
      </w:r>
      <w:r>
        <w:rPr>
          <w:rFonts w:eastAsia="仿宋_GB2312"/>
          <w:kern w:val="0"/>
          <w:sz w:val="32"/>
          <w:szCs w:val="32"/>
        </w:rPr>
        <w:t>未</w:t>
      </w:r>
      <w:r>
        <w:rPr>
          <w:rFonts w:eastAsia="仿宋_GB2312"/>
          <w:kern w:val="0"/>
          <w:sz w:val="32"/>
          <w:szCs w:val="32"/>
        </w:rPr>
        <w:t>发现导致长期血液病的</w:t>
      </w:r>
      <w:r>
        <w:rPr>
          <w:rFonts w:eastAsia="仿宋_GB2312"/>
          <w:kern w:val="0"/>
          <w:sz w:val="32"/>
          <w:szCs w:val="32"/>
        </w:rPr>
        <w:t>例子</w:t>
      </w:r>
      <w:r>
        <w:rPr>
          <w:rFonts w:eastAsia="仿宋_GB2312"/>
          <w:kern w:val="0"/>
          <w:sz w:val="32"/>
          <w:szCs w:val="32"/>
        </w:rPr>
        <w:t>。</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w:t>
      </w:r>
      <w:r>
        <w:rPr>
          <w:rFonts w:eastAsia="仿宋_GB2312"/>
          <w:kern w:val="0"/>
          <w:sz w:val="32"/>
          <w:szCs w:val="32"/>
        </w:rPr>
        <w:t>妊娠早期（妊娠前</w:t>
      </w:r>
      <w:r>
        <w:rPr>
          <w:rFonts w:eastAsia="仿宋_GB2312"/>
          <w:kern w:val="0"/>
          <w:sz w:val="32"/>
          <w:szCs w:val="32"/>
        </w:rPr>
        <w:t>3</w:t>
      </w:r>
      <w:r>
        <w:rPr>
          <w:rFonts w:eastAsia="仿宋_GB2312"/>
          <w:kern w:val="0"/>
          <w:sz w:val="32"/>
          <w:szCs w:val="32"/>
        </w:rPr>
        <w:t>个月）的孕妇禁用。</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4</w:t>
      </w:r>
      <w:r>
        <w:rPr>
          <w:rFonts w:eastAsia="仿宋_GB2312"/>
          <w:kern w:val="0"/>
          <w:sz w:val="32"/>
          <w:szCs w:val="32"/>
        </w:rPr>
        <w:t>.</w:t>
      </w:r>
      <w:r>
        <w:rPr>
          <w:rFonts w:eastAsia="仿宋_GB2312"/>
          <w:kern w:val="0"/>
          <w:sz w:val="32"/>
          <w:szCs w:val="32"/>
        </w:rPr>
        <w:t>哺乳期妇女禁用。除非在替硝唑治疗期间及停</w:t>
      </w:r>
      <w:r>
        <w:rPr>
          <w:rFonts w:eastAsia="仿宋_GB2312"/>
          <w:kern w:val="0"/>
          <w:sz w:val="32"/>
          <w:szCs w:val="32"/>
        </w:rPr>
        <w:t>药后</w:t>
      </w:r>
      <w:r>
        <w:rPr>
          <w:rFonts w:eastAsia="仿宋_GB2312"/>
          <w:kern w:val="0"/>
          <w:sz w:val="32"/>
          <w:szCs w:val="32"/>
        </w:rPr>
        <w:t>3</w:t>
      </w:r>
      <w:r>
        <w:rPr>
          <w:rFonts w:eastAsia="仿宋_GB2312"/>
          <w:kern w:val="0"/>
          <w:sz w:val="32"/>
          <w:szCs w:val="32"/>
        </w:rPr>
        <w:t>天内</w:t>
      </w:r>
      <w:r>
        <w:rPr>
          <w:rFonts w:eastAsia="仿宋_GB2312"/>
          <w:kern w:val="0"/>
          <w:sz w:val="32"/>
          <w:szCs w:val="32"/>
        </w:rPr>
        <w:lastRenderedPageBreak/>
        <w:t>暂停母乳喂养。</w:t>
      </w:r>
    </w:p>
    <w:p w:rsidR="00000000" w:rsidRDefault="00F56318">
      <w:pPr>
        <w:overflowPunct w:val="0"/>
        <w:adjustRightInd w:val="0"/>
        <w:snapToGrid w:val="0"/>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四、【注意事项】项下应包含以下内容</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w:t>
      </w:r>
      <w:r>
        <w:rPr>
          <w:rFonts w:eastAsia="仿宋_GB2312"/>
          <w:kern w:val="0"/>
          <w:sz w:val="32"/>
          <w:szCs w:val="32"/>
        </w:rPr>
        <w:t>在接受替硝唑治疗的患者中，有惊厥发作和周围神经病变的报道，后者主要症状有四</w:t>
      </w:r>
      <w:r>
        <w:rPr>
          <w:rFonts w:eastAsia="仿宋_GB2312"/>
          <w:kern w:val="0"/>
          <w:sz w:val="32"/>
          <w:szCs w:val="32"/>
        </w:rPr>
        <w:t>肢麻木或感觉异常。如果出现任何异常精神症状或神经系统症状</w:t>
      </w:r>
      <w:r>
        <w:rPr>
          <w:rFonts w:eastAsia="仿宋_GB2312"/>
          <w:kern w:val="0"/>
          <w:sz w:val="32"/>
          <w:szCs w:val="32"/>
        </w:rPr>
        <w:t>/</w:t>
      </w:r>
      <w:r>
        <w:rPr>
          <w:rFonts w:eastAsia="仿宋_GB2312"/>
          <w:kern w:val="0"/>
          <w:sz w:val="32"/>
          <w:szCs w:val="32"/>
        </w:rPr>
        <w:t>体征，如共济失调、头晕、意识混乱等，应立即停用替硝唑。</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w:t>
      </w:r>
      <w:r>
        <w:rPr>
          <w:rFonts w:eastAsia="仿宋_GB2312"/>
          <w:kern w:val="0"/>
          <w:sz w:val="32"/>
          <w:szCs w:val="32"/>
        </w:rPr>
        <w:t>在替硝唑治疗之前、期间和之后</w:t>
      </w:r>
      <w:r>
        <w:rPr>
          <w:rFonts w:eastAsia="仿宋_GB2312"/>
          <w:kern w:val="0"/>
          <w:sz w:val="32"/>
          <w:szCs w:val="32"/>
        </w:rPr>
        <w:t>72</w:t>
      </w:r>
      <w:r>
        <w:rPr>
          <w:rFonts w:eastAsia="仿宋_GB2312"/>
          <w:kern w:val="0"/>
          <w:sz w:val="32"/>
          <w:szCs w:val="32"/>
        </w:rPr>
        <w:t>小时内不应饮用酒精饮料或含酒精产品，因为可能出现腹部绞痛、恶心、呕吐、头痛、心动过速、面部潮红等。</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w:t>
      </w:r>
      <w:r>
        <w:rPr>
          <w:rFonts w:eastAsia="仿宋_GB2312"/>
          <w:kern w:val="0"/>
          <w:sz w:val="32"/>
          <w:szCs w:val="32"/>
        </w:rPr>
        <w:t>念珠菌感染者应用本品，其症状会加重，需同时给予抗真菌治疗。治疗阴道滴虫病时需同时治疗其性伙伴。</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4</w:t>
      </w:r>
      <w:r>
        <w:rPr>
          <w:rFonts w:eastAsia="仿宋_GB2312"/>
          <w:kern w:val="0"/>
          <w:sz w:val="32"/>
          <w:szCs w:val="32"/>
        </w:rPr>
        <w:t>.</w:t>
      </w:r>
      <w:r>
        <w:rPr>
          <w:rFonts w:eastAsia="仿宋_GB2312"/>
          <w:kern w:val="0"/>
          <w:sz w:val="32"/>
          <w:szCs w:val="32"/>
        </w:rPr>
        <w:t>据报道，在科克因（</w:t>
      </w:r>
      <w:r>
        <w:rPr>
          <w:rFonts w:eastAsia="仿宋_GB2312"/>
          <w:kern w:val="0"/>
          <w:sz w:val="32"/>
          <w:szCs w:val="32"/>
        </w:rPr>
        <w:t>Cockayne</w:t>
      </w:r>
      <w:r>
        <w:rPr>
          <w:rFonts w:eastAsia="仿宋_GB2312"/>
          <w:kern w:val="0"/>
          <w:sz w:val="32"/>
          <w:szCs w:val="32"/>
        </w:rPr>
        <w:t>）综合征患者中，使用与替硝唑结构相似的甲硝唑后，出现了严重的不可逆的肝毒性</w:t>
      </w:r>
      <w:r>
        <w:rPr>
          <w:rFonts w:eastAsia="仿宋_GB2312"/>
          <w:kern w:val="0"/>
          <w:sz w:val="32"/>
          <w:szCs w:val="32"/>
        </w:rPr>
        <w:t>/</w:t>
      </w:r>
      <w:r>
        <w:rPr>
          <w:rFonts w:eastAsia="仿宋_GB2312"/>
          <w:kern w:val="0"/>
          <w:sz w:val="32"/>
          <w:szCs w:val="32"/>
        </w:rPr>
        <w:t>急性肝衰竭，并伴有致命后果。</w:t>
      </w:r>
    </w:p>
    <w:p w:rsidR="00000000" w:rsidRDefault="00F56318">
      <w:pPr>
        <w:overflowPunct w:val="0"/>
        <w:adjustRightInd w:val="0"/>
        <w:snapToGrid w:val="0"/>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五、【药物相互作用</w:t>
      </w:r>
      <w:r>
        <w:rPr>
          <w:rFonts w:ascii="黑体" w:eastAsia="黑体" w:hAnsi="黑体" w:cs="黑体" w:hint="eastAsia"/>
          <w:bCs/>
          <w:sz w:val="32"/>
          <w:szCs w:val="32"/>
        </w:rPr>
        <w:t>】项下修订为以下内容</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以下是关于甲硝唑的药物相互作用的报道，甲硝唑是一种与替硝唑有化学相关性的硝基咪唑类药物，因此以下报道可能也会发生于替硝唑中。</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w:t>
      </w:r>
      <w:r>
        <w:rPr>
          <w:rFonts w:eastAsia="仿宋_GB2312"/>
          <w:kern w:val="0"/>
          <w:sz w:val="32"/>
          <w:szCs w:val="32"/>
        </w:rPr>
        <w:t>替硝唑对其他药物的潜在影响</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华法林和其他口服香豆素抗凝血药：鉴于甲硝唑的相关报道，替硝唑可以增强华法林及其他香豆素抗凝血剂的药效，从而导致凝血酶原时间延长。在替硝唑治疗期间及其停药后</w:t>
      </w:r>
      <w:r>
        <w:rPr>
          <w:rFonts w:eastAsia="仿宋_GB2312"/>
          <w:kern w:val="0"/>
          <w:sz w:val="32"/>
          <w:szCs w:val="32"/>
        </w:rPr>
        <w:t>8</w:t>
      </w:r>
      <w:r>
        <w:rPr>
          <w:rFonts w:eastAsia="仿宋_GB2312"/>
          <w:kern w:val="0"/>
          <w:sz w:val="32"/>
          <w:szCs w:val="32"/>
        </w:rPr>
        <w:t>天内，抗凝血剂用量可能需要调整。</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lastRenderedPageBreak/>
        <w:t>酒精、双硫</w:t>
      </w:r>
      <w:r>
        <w:rPr>
          <w:rFonts w:eastAsia="仿宋_GB2312"/>
          <w:kern w:val="0"/>
          <w:sz w:val="32"/>
          <w:szCs w:val="32"/>
        </w:rPr>
        <w:t>仑</w:t>
      </w:r>
      <w:r>
        <w:rPr>
          <w:rFonts w:eastAsia="仿宋_GB2312"/>
          <w:kern w:val="0"/>
          <w:sz w:val="32"/>
          <w:szCs w:val="32"/>
        </w:rPr>
        <w:t>：在替硝唑治疗期间及停药后</w:t>
      </w:r>
      <w:r>
        <w:rPr>
          <w:rFonts w:eastAsia="仿宋_GB2312"/>
          <w:kern w:val="0"/>
          <w:sz w:val="32"/>
          <w:szCs w:val="32"/>
        </w:rPr>
        <w:t>3</w:t>
      </w:r>
      <w:r>
        <w:rPr>
          <w:rFonts w:eastAsia="仿宋_GB2312"/>
          <w:kern w:val="0"/>
          <w:sz w:val="32"/>
          <w:szCs w:val="32"/>
        </w:rPr>
        <w:t>天内应避免饮用酒精饮料以及任何含有酒精或丙二醇的制剂，否则可能出现腹部绞痛、恶心、呕吐、头痛、潮红的反</w:t>
      </w:r>
      <w:r>
        <w:rPr>
          <w:rFonts w:eastAsia="仿宋_GB2312"/>
          <w:kern w:val="0"/>
          <w:sz w:val="32"/>
          <w:szCs w:val="32"/>
        </w:rPr>
        <w:t>应。据报道，酗酒患者</w:t>
      </w:r>
      <w:r>
        <w:rPr>
          <w:rFonts w:eastAsia="仿宋_GB2312"/>
          <w:kern w:val="0"/>
          <w:sz w:val="32"/>
          <w:szCs w:val="32"/>
        </w:rPr>
        <w:t>同时服用</w:t>
      </w:r>
      <w:r>
        <w:rPr>
          <w:rFonts w:eastAsia="仿宋_GB2312"/>
          <w:kern w:val="0"/>
          <w:sz w:val="32"/>
          <w:szCs w:val="32"/>
        </w:rPr>
        <w:t>甲硝唑和双硫</w:t>
      </w:r>
      <w:r>
        <w:rPr>
          <w:rFonts w:eastAsia="仿宋_GB2312"/>
          <w:kern w:val="0"/>
          <w:sz w:val="32"/>
          <w:szCs w:val="32"/>
        </w:rPr>
        <w:t>仑</w:t>
      </w:r>
      <w:r>
        <w:rPr>
          <w:rFonts w:eastAsia="仿宋_GB2312"/>
          <w:kern w:val="0"/>
          <w:sz w:val="32"/>
          <w:szCs w:val="32"/>
        </w:rPr>
        <w:t>会出现精神病反应。虽然替硝唑未见类似报道，但仍不应给近两周内</w:t>
      </w:r>
      <w:r>
        <w:rPr>
          <w:rFonts w:eastAsia="仿宋_GB2312"/>
          <w:kern w:val="0"/>
          <w:sz w:val="32"/>
          <w:szCs w:val="32"/>
        </w:rPr>
        <w:t>服用</w:t>
      </w:r>
      <w:r>
        <w:rPr>
          <w:rFonts w:eastAsia="仿宋_GB2312"/>
          <w:kern w:val="0"/>
          <w:sz w:val="32"/>
          <w:szCs w:val="32"/>
        </w:rPr>
        <w:t>过双硫</w:t>
      </w:r>
      <w:r>
        <w:rPr>
          <w:rFonts w:eastAsia="仿宋_GB2312"/>
          <w:kern w:val="0"/>
          <w:sz w:val="32"/>
          <w:szCs w:val="32"/>
        </w:rPr>
        <w:t>仑</w:t>
      </w:r>
      <w:r>
        <w:rPr>
          <w:rFonts w:eastAsia="仿宋_GB2312"/>
          <w:kern w:val="0"/>
          <w:sz w:val="32"/>
          <w:szCs w:val="32"/>
        </w:rPr>
        <w:t>的患者使用替硝唑。</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锂：据报道，甲硝唑提高血清锂的水平。目前尚未知替硝唑是否也有相同的性质，但是建议同时使用锂和替硝唑的患者在治疗几天后做血清锂和肌酸酐的检查，以监测潜在的锂中毒危险。</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环孢菌素、他克莫司：据一些报道显示，甲硝唑有可能提高环孢菌素和他克莫司的水平。在替硝唑与此任意一种联合给药时，应监测这些患者免疫抑制药物的毒性反应。</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氟尿嘧啶：研究显示甲硝唑会降低氟尿嘧啶的清除率从而导致对治疗效</w:t>
      </w:r>
      <w:r>
        <w:rPr>
          <w:rFonts w:eastAsia="仿宋_GB2312"/>
          <w:kern w:val="0"/>
          <w:sz w:val="32"/>
          <w:szCs w:val="32"/>
        </w:rPr>
        <w:t>果无益反而增加其副作用，如果不可避免的要将替硝唑与氟尿嘧啶联合用药，应监测患者的氟尿嘧啶相关的毒性反应。</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w:t>
      </w:r>
      <w:r>
        <w:rPr>
          <w:rFonts w:eastAsia="仿宋_GB2312"/>
          <w:kern w:val="0"/>
          <w:sz w:val="32"/>
          <w:szCs w:val="32"/>
        </w:rPr>
        <w:t>其他药物对替硝唑的潜在影响</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CYP3A4</w:t>
      </w:r>
      <w:r>
        <w:rPr>
          <w:rFonts w:eastAsia="仿宋_GB2312"/>
          <w:kern w:val="0"/>
          <w:sz w:val="32"/>
          <w:szCs w:val="32"/>
        </w:rPr>
        <w:t>诱导剂</w:t>
      </w:r>
      <w:r>
        <w:rPr>
          <w:rFonts w:eastAsia="仿宋_GB2312"/>
          <w:kern w:val="0"/>
          <w:sz w:val="32"/>
          <w:szCs w:val="32"/>
        </w:rPr>
        <w:t>/</w:t>
      </w:r>
      <w:r>
        <w:rPr>
          <w:rFonts w:eastAsia="仿宋_GB2312"/>
          <w:kern w:val="0"/>
          <w:sz w:val="32"/>
          <w:szCs w:val="32"/>
        </w:rPr>
        <w:t>抑制剂：替硝唑与诱导肝微粒体酶的药物联合给药，即</w:t>
      </w:r>
      <w:r>
        <w:rPr>
          <w:rFonts w:eastAsia="仿宋_GB2312"/>
          <w:kern w:val="0"/>
          <w:sz w:val="32"/>
          <w:szCs w:val="32"/>
        </w:rPr>
        <w:t>CYP3A4</w:t>
      </w:r>
      <w:r>
        <w:rPr>
          <w:rFonts w:eastAsia="仿宋_GB2312"/>
          <w:kern w:val="0"/>
          <w:sz w:val="32"/>
          <w:szCs w:val="32"/>
        </w:rPr>
        <w:t>诱导剂，如苯巴比妥、利福平、苯妥英、磷苯妥英（一种苯妥英的前体药物），可能加速替硝唑的消除，降低血浆中替硝唑的水平。替硝唑与抑制肝微粒体酶活性的药物联合给药，即</w:t>
      </w:r>
      <w:r>
        <w:rPr>
          <w:rFonts w:eastAsia="仿宋_GB2312"/>
          <w:kern w:val="0"/>
          <w:sz w:val="32"/>
          <w:szCs w:val="32"/>
        </w:rPr>
        <w:t>CYP3A4</w:t>
      </w:r>
      <w:r>
        <w:rPr>
          <w:rFonts w:eastAsia="仿宋_GB2312"/>
          <w:kern w:val="0"/>
          <w:sz w:val="32"/>
          <w:szCs w:val="32"/>
        </w:rPr>
        <w:t>抑制剂如西咪替丁和酮康唑，可能会延长替硝唑的半衰期并降低其血浆清除率，从而增加替硝唑在血浆中的浓度。</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lastRenderedPageBreak/>
        <w:t>土霉素：据报道，土霉</w:t>
      </w:r>
      <w:r>
        <w:rPr>
          <w:rFonts w:eastAsia="仿宋_GB2312"/>
          <w:kern w:val="0"/>
          <w:sz w:val="32"/>
          <w:szCs w:val="32"/>
        </w:rPr>
        <w:t>素会拮抗甲硝唑的治疗效果。</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w:t>
      </w:r>
      <w:r>
        <w:rPr>
          <w:rFonts w:eastAsia="仿宋_GB2312"/>
          <w:kern w:val="0"/>
          <w:sz w:val="32"/>
          <w:szCs w:val="32"/>
        </w:rPr>
        <w:t>实验室试验的药物相互作用</w:t>
      </w:r>
    </w:p>
    <w:p w:rsidR="00000000" w:rsidRDefault="00F56318">
      <w:pPr>
        <w:overflowPunct w:val="0"/>
        <w:spacing w:line="560" w:lineRule="exact"/>
        <w:ind w:firstLineChars="200" w:firstLine="640"/>
        <w:rPr>
          <w:rFonts w:eastAsia="仿宋_GB2312"/>
          <w:kern w:val="0"/>
          <w:sz w:val="32"/>
          <w:szCs w:val="32"/>
        </w:rPr>
      </w:pPr>
      <w:r>
        <w:rPr>
          <w:rFonts w:eastAsia="仿宋_GB2312"/>
          <w:kern w:val="0"/>
          <w:sz w:val="32"/>
          <w:szCs w:val="32"/>
        </w:rPr>
        <w:t>与甲硝唑类似，替硝唑也可能干扰某些特定血清生化指标的测定，如谷氨酸氨基转移酶（</w:t>
      </w:r>
      <w:r>
        <w:rPr>
          <w:rFonts w:eastAsia="仿宋_GB2312"/>
          <w:kern w:val="0"/>
          <w:sz w:val="32"/>
          <w:szCs w:val="32"/>
        </w:rPr>
        <w:t>AST</w:t>
      </w:r>
      <w:r>
        <w:rPr>
          <w:rFonts w:eastAsia="仿宋_GB2312"/>
          <w:kern w:val="0"/>
          <w:sz w:val="32"/>
          <w:szCs w:val="32"/>
        </w:rPr>
        <w:t>）、丙氨酸氨基转移酶（</w:t>
      </w:r>
      <w:r>
        <w:rPr>
          <w:rFonts w:eastAsia="仿宋_GB2312"/>
          <w:kern w:val="0"/>
          <w:sz w:val="32"/>
          <w:szCs w:val="32"/>
        </w:rPr>
        <w:t>ALT</w:t>
      </w:r>
      <w:r>
        <w:rPr>
          <w:rFonts w:eastAsia="仿宋_GB2312"/>
          <w:kern w:val="0"/>
          <w:sz w:val="32"/>
          <w:szCs w:val="32"/>
        </w:rPr>
        <w:t>）、乳酸脱氢酶（</w:t>
      </w:r>
      <w:r>
        <w:rPr>
          <w:rFonts w:eastAsia="仿宋_GB2312"/>
          <w:kern w:val="0"/>
          <w:sz w:val="32"/>
          <w:szCs w:val="32"/>
        </w:rPr>
        <w:t>LDH</w:t>
      </w:r>
      <w:r>
        <w:rPr>
          <w:rFonts w:eastAsia="仿宋_GB2312"/>
          <w:kern w:val="0"/>
          <w:sz w:val="32"/>
          <w:szCs w:val="32"/>
        </w:rPr>
        <w:t>）、甘油三酯和葡萄糖己糖激酶。可能观测到零值。所有有干扰现象报道的含量测定试验，都涉及到了烟酰胺腺嘌呤二核苷酸的氧化还原反应过程中</w:t>
      </w:r>
      <w:r>
        <w:rPr>
          <w:rFonts w:eastAsia="仿宋_GB2312"/>
          <w:kern w:val="0"/>
          <w:sz w:val="32"/>
          <w:szCs w:val="32"/>
        </w:rPr>
        <w:t>（</w:t>
      </w:r>
      <w:r>
        <w:rPr>
          <w:rFonts w:eastAsia="仿宋_GB2312"/>
          <w:kern w:val="0"/>
          <w:sz w:val="32"/>
          <w:szCs w:val="32"/>
        </w:rPr>
        <w:t>NAD +NADH</w:t>
      </w:r>
      <w:r>
        <w:rPr>
          <w:rFonts w:eastAsia="仿宋_GB2312"/>
          <w:kern w:val="0"/>
          <w:sz w:val="32"/>
          <w:szCs w:val="32"/>
        </w:rPr>
        <w:t>）</w:t>
      </w:r>
      <w:r>
        <w:rPr>
          <w:rFonts w:eastAsia="仿宋_GB2312"/>
          <w:kern w:val="0"/>
          <w:sz w:val="32"/>
          <w:szCs w:val="32"/>
        </w:rPr>
        <w:t>酶的耦合。潜在的干扰是由于</w:t>
      </w:r>
      <w:r>
        <w:rPr>
          <w:rFonts w:eastAsia="仿宋_GB2312"/>
          <w:kern w:val="0"/>
          <w:sz w:val="32"/>
          <w:szCs w:val="32"/>
        </w:rPr>
        <w:t>NADH</w:t>
      </w:r>
      <w:r>
        <w:rPr>
          <w:rFonts w:eastAsia="仿宋_GB2312"/>
          <w:kern w:val="0"/>
          <w:sz w:val="32"/>
          <w:szCs w:val="32"/>
        </w:rPr>
        <w:t>和替硝唑的吸收峰具有相似性。</w:t>
      </w:r>
    </w:p>
    <w:p w:rsidR="00000000" w:rsidRDefault="00F56318">
      <w:pPr>
        <w:overflowPunct w:val="0"/>
        <w:adjustRightInd w:val="0"/>
        <w:snapToGrid w:val="0"/>
        <w:spacing w:line="560" w:lineRule="exact"/>
        <w:ind w:firstLineChars="200" w:firstLine="640"/>
        <w:rPr>
          <w:rFonts w:ascii="黑体" w:eastAsia="黑体" w:hAnsi="黑体" w:cs="黑体" w:hint="eastAsia"/>
          <w:bCs/>
          <w:sz w:val="32"/>
          <w:szCs w:val="32"/>
        </w:rPr>
      </w:pPr>
      <w:r>
        <w:rPr>
          <w:rFonts w:eastAsia="仿宋_GB2312"/>
          <w:kern w:val="0"/>
          <w:sz w:val="32"/>
          <w:szCs w:val="32"/>
        </w:rPr>
        <w:t>与甲硝唑类似，替硝唑也可能会产生短暂的白细胞和中性粒细胞减少，然而在临床试验中没有观测到由替硝唑引起的持</w:t>
      </w:r>
      <w:r>
        <w:rPr>
          <w:rFonts w:eastAsia="仿宋_GB2312"/>
          <w:kern w:val="0"/>
          <w:sz w:val="32"/>
          <w:szCs w:val="32"/>
        </w:rPr>
        <w:t>续的血液学异常现象。如果有必要重复治疗，建议进行白细胞总数和分类计数。</w:t>
      </w:r>
    </w:p>
    <w:p w:rsidR="00000000" w:rsidRDefault="00F56318">
      <w:pPr>
        <w:overflowPunct w:val="0"/>
        <w:adjustRightInd w:val="0"/>
        <w:snapToGrid w:val="0"/>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六、【药物过量】</w:t>
      </w:r>
      <w:r>
        <w:rPr>
          <w:rFonts w:ascii="黑体" w:eastAsia="黑体" w:hAnsi="黑体" w:cs="黑体" w:hint="eastAsia"/>
          <w:bCs/>
          <w:sz w:val="32"/>
          <w:szCs w:val="32"/>
        </w:rPr>
        <w:t>项下</w:t>
      </w:r>
      <w:r>
        <w:rPr>
          <w:rFonts w:ascii="黑体" w:eastAsia="黑体" w:hAnsi="黑体" w:cs="黑体" w:hint="eastAsia"/>
          <w:bCs/>
          <w:sz w:val="32"/>
          <w:szCs w:val="32"/>
        </w:rPr>
        <w:t>修订为以下内容</w:t>
      </w:r>
    </w:p>
    <w:p w:rsidR="00000000" w:rsidRDefault="00F56318">
      <w:pPr>
        <w:overflowPunct w:val="0"/>
        <w:adjustRightInd w:val="0"/>
        <w:snapToGrid w:val="0"/>
        <w:spacing w:line="560" w:lineRule="exact"/>
        <w:ind w:firstLineChars="200" w:firstLine="640"/>
        <w:rPr>
          <w:rFonts w:eastAsia="仿宋_GB2312"/>
          <w:kern w:val="0"/>
          <w:sz w:val="32"/>
          <w:szCs w:val="32"/>
        </w:rPr>
      </w:pPr>
      <w:r>
        <w:rPr>
          <w:rFonts w:eastAsia="仿宋_GB2312"/>
          <w:kern w:val="0"/>
          <w:sz w:val="32"/>
          <w:szCs w:val="32"/>
        </w:rPr>
        <w:t>未进行此项实验且无可靠参考文献。</w:t>
      </w:r>
    </w:p>
    <w:p w:rsidR="00000000" w:rsidRDefault="00F56318">
      <w:pPr>
        <w:overflowPunct w:val="0"/>
        <w:adjustRightInd w:val="0"/>
        <w:snapToGrid w:val="0"/>
        <w:spacing w:line="560" w:lineRule="exact"/>
        <w:ind w:firstLineChars="200" w:firstLine="640"/>
        <w:rPr>
          <w:rFonts w:eastAsia="仿宋_GB2312"/>
          <w:kern w:val="0"/>
          <w:sz w:val="32"/>
          <w:szCs w:val="32"/>
        </w:rPr>
      </w:pPr>
      <w:r>
        <w:rPr>
          <w:rFonts w:eastAsia="仿宋_GB2312"/>
          <w:kern w:val="0"/>
          <w:sz w:val="32"/>
          <w:szCs w:val="32"/>
        </w:rPr>
        <w:t>替硝唑过量无特异性解毒药。本品过量时，应给予对症治疗，本品大部分随尿液排泄，可增加尿量以加快清除速率。血液透析也可以考虑，因为大约</w:t>
      </w:r>
      <w:r>
        <w:rPr>
          <w:rFonts w:eastAsia="仿宋_GB2312"/>
          <w:kern w:val="0"/>
          <w:sz w:val="32"/>
          <w:szCs w:val="32"/>
        </w:rPr>
        <w:t>43%</w:t>
      </w:r>
      <w:r>
        <w:rPr>
          <w:rFonts w:eastAsia="仿宋_GB2312"/>
          <w:kern w:val="0"/>
          <w:sz w:val="32"/>
          <w:szCs w:val="32"/>
        </w:rPr>
        <w:t>的体内药物可以在血液透析</w:t>
      </w:r>
      <w:r>
        <w:rPr>
          <w:rFonts w:eastAsia="仿宋_GB2312"/>
          <w:kern w:val="0"/>
          <w:sz w:val="32"/>
          <w:szCs w:val="32"/>
        </w:rPr>
        <w:t>6</w:t>
      </w:r>
      <w:r>
        <w:rPr>
          <w:rFonts w:eastAsia="仿宋_GB2312"/>
          <w:kern w:val="0"/>
          <w:sz w:val="32"/>
          <w:szCs w:val="32"/>
        </w:rPr>
        <w:t>小时内消除。</w:t>
      </w:r>
    </w:p>
    <w:p w:rsidR="00000000" w:rsidRDefault="00F56318">
      <w:pPr>
        <w:overflowPunct w:val="0"/>
        <w:adjustRightInd w:val="0"/>
        <w:snapToGrid w:val="0"/>
        <w:spacing w:line="560" w:lineRule="exact"/>
        <w:ind w:firstLineChars="200" w:firstLine="640"/>
        <w:rPr>
          <w:rFonts w:eastAsia="仿宋_GB2312"/>
          <w:kern w:val="0"/>
          <w:sz w:val="32"/>
          <w:szCs w:val="32"/>
        </w:rPr>
      </w:pPr>
    </w:p>
    <w:p w:rsidR="00000000" w:rsidRDefault="00F56318">
      <w:pPr>
        <w:overflowPunct w:val="0"/>
        <w:adjustRightInd w:val="0"/>
        <w:snapToGrid w:val="0"/>
        <w:spacing w:line="560" w:lineRule="exact"/>
        <w:ind w:firstLineChars="200" w:firstLine="640"/>
        <w:rPr>
          <w:rFonts w:eastAsia="仿宋_GB2312"/>
          <w:kern w:val="0"/>
          <w:sz w:val="32"/>
          <w:szCs w:val="32"/>
        </w:rPr>
      </w:pPr>
      <w:r>
        <w:rPr>
          <w:rFonts w:eastAsia="仿宋_GB2312"/>
          <w:kern w:val="0"/>
          <w:sz w:val="32"/>
          <w:szCs w:val="32"/>
        </w:rPr>
        <w:t>（注：如原批准说明书的安全性内容较本修订要求内容更全面或更严格的，应保留原批准内容。说明书其他内容如与上述修订要求不一致的，应当一并进行修订。）</w:t>
      </w:r>
    </w:p>
    <w:p w:rsidR="00F56318" w:rsidRDefault="00F56318" w:rsidP="00E36CB3">
      <w:pPr>
        <w:autoSpaceDE w:val="0"/>
        <w:autoSpaceDN w:val="0"/>
        <w:adjustRightInd w:val="0"/>
        <w:snapToGrid w:val="0"/>
        <w:spacing w:line="360" w:lineRule="auto"/>
        <w:ind w:firstLineChars="196" w:firstLine="549"/>
        <w:rPr>
          <w:rFonts w:eastAsia="仿宋_GB2312" w:hint="eastAsia"/>
          <w:sz w:val="28"/>
          <w:szCs w:val="28"/>
        </w:rPr>
      </w:pPr>
      <w:bookmarkStart w:id="0" w:name="_GoBack"/>
      <w:bookmarkEnd w:id="0"/>
    </w:p>
    <w:sectPr w:rsidR="00F56318">
      <w:footerReference w:type="default" r:id="rId6"/>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318" w:rsidRDefault="00F56318">
      <w:r>
        <w:separator/>
      </w:r>
    </w:p>
  </w:endnote>
  <w:endnote w:type="continuationSeparator" w:id="0">
    <w:p w:rsidR="00F56318" w:rsidRDefault="00F5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36CB3">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F56318">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E36CB3">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JvnV1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F56318">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E36CB3">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318" w:rsidRDefault="00F56318">
      <w:r>
        <w:separator/>
      </w:r>
    </w:p>
  </w:footnote>
  <w:footnote w:type="continuationSeparator" w:id="0">
    <w:p w:rsidR="00F56318" w:rsidRDefault="00F563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557FC"/>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36CB3"/>
    <w:rsid w:val="00E41212"/>
    <w:rsid w:val="00E41A1A"/>
    <w:rsid w:val="00E73776"/>
    <w:rsid w:val="00ED2031"/>
    <w:rsid w:val="00F56318"/>
    <w:rsid w:val="00F64776"/>
    <w:rsid w:val="00F6624B"/>
    <w:rsid w:val="00F8685B"/>
    <w:rsid w:val="00FA60C8"/>
    <w:rsid w:val="00FD22E5"/>
    <w:rsid w:val="00FD443E"/>
    <w:rsid w:val="00FD754D"/>
    <w:rsid w:val="0BEC7EA0"/>
    <w:rsid w:val="0F9E0E77"/>
    <w:rsid w:val="1FBFC3D9"/>
    <w:rsid w:val="29D50B9B"/>
    <w:rsid w:val="2A8D465A"/>
    <w:rsid w:val="2FABFEAF"/>
    <w:rsid w:val="36755B98"/>
    <w:rsid w:val="368B95DC"/>
    <w:rsid w:val="36FFBAFE"/>
    <w:rsid w:val="37D55CA7"/>
    <w:rsid w:val="3ADFB71C"/>
    <w:rsid w:val="43E2636A"/>
    <w:rsid w:val="4C1A048F"/>
    <w:rsid w:val="591D3208"/>
    <w:rsid w:val="5DDF351E"/>
    <w:rsid w:val="5F297A5F"/>
    <w:rsid w:val="63E446CD"/>
    <w:rsid w:val="66AC894B"/>
    <w:rsid w:val="69FC9BD7"/>
    <w:rsid w:val="6EFFBB82"/>
    <w:rsid w:val="6F5EFC7C"/>
    <w:rsid w:val="73D94C21"/>
    <w:rsid w:val="79F672D9"/>
    <w:rsid w:val="7ED62E8A"/>
    <w:rsid w:val="7FDC80B2"/>
    <w:rsid w:val="7FF7F7E2"/>
    <w:rsid w:val="7FFAD21C"/>
    <w:rsid w:val="7FFF5D94"/>
    <w:rsid w:val="89FC7186"/>
    <w:rsid w:val="B3DBDAF3"/>
    <w:rsid w:val="BB7F07A1"/>
    <w:rsid w:val="BFE7F370"/>
    <w:rsid w:val="CEFF6BC0"/>
    <w:rsid w:val="CFB8A389"/>
    <w:rsid w:val="D7FD1CF2"/>
    <w:rsid w:val="DE3F5562"/>
    <w:rsid w:val="DFFFAD6B"/>
    <w:rsid w:val="E37616EA"/>
    <w:rsid w:val="E8DAA494"/>
    <w:rsid w:val="EBFF83AD"/>
    <w:rsid w:val="F3FFBC3C"/>
    <w:rsid w:val="F5EDE183"/>
    <w:rsid w:val="F6FB8308"/>
    <w:rsid w:val="F71CE259"/>
    <w:rsid w:val="F7B92A44"/>
    <w:rsid w:val="F7FD5EF5"/>
    <w:rsid w:val="F7FF69CB"/>
    <w:rsid w:val="FB4B5E6F"/>
    <w:rsid w:val="FBA7DEEF"/>
    <w:rsid w:val="FBF698C7"/>
    <w:rsid w:val="FBFE4843"/>
    <w:rsid w:val="FEFFFD42"/>
    <w:rsid w:val="FF266A75"/>
    <w:rsid w:val="FF3FE37C"/>
    <w:rsid w:val="FF45DF29"/>
    <w:rsid w:val="FFFAC2BE"/>
    <w:rsid w:val="FFFB9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65B1E9-8CF3-4350-B3DB-C36FE0D8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356</Words>
  <Characters>2033</Characters>
  <Application>Microsoft Office Word</Application>
  <DocSecurity>0</DocSecurity>
  <Lines>16</Lines>
  <Paragraphs>4</Paragraphs>
  <ScaleCrop>false</ScaleCrop>
  <Company>Xtzj.Com</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2024-03-25T16:19:00Z</cp:lastPrinted>
  <dcterms:created xsi:type="dcterms:W3CDTF">2024-04-01T00:43:00Z</dcterms:created>
  <dcterms:modified xsi:type="dcterms:W3CDTF">2024-04-01T00:43:00Z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C2C0DA0552E77FF3778706663B5B6944</vt:lpwstr>
  </property>
</Properties>
</file>