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24" w:rsidRDefault="006C0424">
      <w:pPr>
        <w:spacing w:line="560" w:lineRule="exact"/>
        <w:rPr>
          <w:rFonts w:ascii="黑体" w:eastAsia="黑体" w:hAnsi="华文仿宋"/>
          <w:sz w:val="32"/>
          <w:szCs w:val="32"/>
        </w:rPr>
      </w:pPr>
      <w:r>
        <w:rPr>
          <w:rFonts w:ascii="黑体" w:eastAsia="黑体" w:hAnsi="华文仿宋" w:hint="eastAsia"/>
          <w:sz w:val="32"/>
          <w:szCs w:val="32"/>
        </w:rPr>
        <w:t>附件</w:t>
      </w:r>
    </w:p>
    <w:p w:rsidR="006C0424" w:rsidRDefault="006C0424">
      <w:pPr>
        <w:spacing w:line="560" w:lineRule="exact"/>
        <w:jc w:val="center"/>
        <w:rPr>
          <w:rFonts w:ascii="方正小标宋简体" w:eastAsia="方正小标宋简体" w:hAnsi="方正小标宋简体" w:cs="方正小标宋简体"/>
          <w:sz w:val="44"/>
          <w:szCs w:val="44"/>
        </w:rPr>
      </w:pPr>
    </w:p>
    <w:p w:rsidR="006C0424" w:rsidRDefault="006C042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注射用美洛西林钠、注射用美洛西林钠舒巴</w:t>
      </w:r>
    </w:p>
    <w:p w:rsidR="006C0424" w:rsidRDefault="006C042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坦钠、注射用美洛西林钠舒巴坦钠（4:1）</w:t>
      </w:r>
    </w:p>
    <w:p w:rsidR="006C0424" w:rsidRDefault="006C042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说明书修订要求</w:t>
      </w:r>
    </w:p>
    <w:p w:rsidR="006C0424" w:rsidRDefault="006C0424">
      <w:pPr>
        <w:spacing w:line="560" w:lineRule="exact"/>
        <w:jc w:val="center"/>
        <w:rPr>
          <w:rFonts w:ascii="方正小标宋简体" w:eastAsia="方正小标宋简体" w:hAnsi="方正小标宋简体" w:cs="方正小标宋简体"/>
          <w:sz w:val="44"/>
          <w:szCs w:val="44"/>
        </w:rPr>
      </w:pPr>
    </w:p>
    <w:p w:rsidR="006C0424" w:rsidRDefault="006C0424">
      <w:pPr>
        <w:overflowPunct w:val="0"/>
        <w:spacing w:line="560" w:lineRule="exact"/>
        <w:ind w:firstLineChars="200" w:firstLine="640"/>
        <w:rPr>
          <w:rFonts w:eastAsia="黑体"/>
          <w:sz w:val="32"/>
          <w:szCs w:val="32"/>
        </w:rPr>
      </w:pPr>
      <w:r>
        <w:rPr>
          <w:rFonts w:eastAsia="黑体" w:hint="eastAsia"/>
          <w:sz w:val="32"/>
          <w:szCs w:val="32"/>
        </w:rPr>
        <w:t>一</w:t>
      </w:r>
      <w:r>
        <w:rPr>
          <w:rFonts w:eastAsia="黑体"/>
          <w:sz w:val="32"/>
          <w:szCs w:val="32"/>
        </w:rPr>
        <w:t>、【不良反应】项下修订为以下内容：</w:t>
      </w:r>
    </w:p>
    <w:p w:rsidR="006C0424" w:rsidRDefault="006C0424">
      <w:pPr>
        <w:autoSpaceDE w:val="0"/>
        <w:autoSpaceDN w:val="0"/>
        <w:adjustRightInd w:val="0"/>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1</w:t>
      </w:r>
      <w:r>
        <w:rPr>
          <w:rFonts w:eastAsia="仿宋_GB2312" w:hint="eastAsia"/>
          <w:color w:val="000000"/>
          <w:kern w:val="0"/>
          <w:sz w:val="32"/>
          <w:szCs w:val="32"/>
          <w:lang w:val="zh-CN"/>
        </w:rPr>
        <w:t>.</w:t>
      </w:r>
      <w:r>
        <w:rPr>
          <w:rFonts w:eastAsia="仿宋_GB2312" w:hint="eastAsia"/>
          <w:color w:val="000000"/>
          <w:kern w:val="0"/>
          <w:sz w:val="32"/>
          <w:szCs w:val="32"/>
          <w:lang w:val="zh-CN"/>
        </w:rPr>
        <w:t>胃肠道反应：偶有腹泻、恶心、呕吐等。腹泻通常在治疗期间或不再继续用药时即可消失，出现严重和持续腹泻时，应考虑到出现潜在致命的抗生素诱发伪膜小肠结肠炎的可能性，这时必须立即停用本品并采取相应的治疗（如口服万古霉素</w:t>
      </w:r>
      <w:r>
        <w:rPr>
          <w:rFonts w:eastAsia="仿宋_GB2312"/>
          <w:color w:val="000000"/>
          <w:kern w:val="0"/>
          <w:sz w:val="32"/>
          <w:szCs w:val="32"/>
          <w:lang w:val="zh-CN"/>
        </w:rPr>
        <w:t>250mg</w:t>
      </w:r>
      <w:r>
        <w:rPr>
          <w:rFonts w:eastAsia="仿宋_GB2312" w:hint="eastAsia"/>
          <w:color w:val="000000"/>
          <w:kern w:val="0"/>
          <w:sz w:val="32"/>
          <w:szCs w:val="32"/>
          <w:lang w:val="zh-CN"/>
        </w:rPr>
        <w:t>，每日</w:t>
      </w:r>
      <w:r>
        <w:rPr>
          <w:rFonts w:eastAsia="仿宋_GB2312"/>
          <w:color w:val="000000"/>
          <w:kern w:val="0"/>
          <w:sz w:val="32"/>
          <w:szCs w:val="32"/>
          <w:lang w:val="zh-CN"/>
        </w:rPr>
        <w:t>4</w:t>
      </w:r>
      <w:r>
        <w:rPr>
          <w:rFonts w:eastAsia="仿宋_GB2312" w:hint="eastAsia"/>
          <w:color w:val="000000"/>
          <w:kern w:val="0"/>
          <w:sz w:val="32"/>
          <w:szCs w:val="32"/>
          <w:lang w:val="zh-CN"/>
        </w:rPr>
        <w:t>次），禁用减少蠕动药物。</w:t>
      </w:r>
      <w:r>
        <w:rPr>
          <w:rFonts w:eastAsia="仿宋_GB2312" w:hint="eastAsia"/>
          <w:kern w:val="0"/>
          <w:sz w:val="32"/>
          <w:szCs w:val="32"/>
          <w:lang w:val="zh-CN"/>
        </w:rPr>
        <w:t>罕见消化不良、食欲不振、腹胀。此外还可能出现腹痛、口干、黑毛舌等。</w:t>
      </w:r>
    </w:p>
    <w:p w:rsidR="006C0424" w:rsidRDefault="006C0424">
      <w:pPr>
        <w:autoSpaceDE w:val="0"/>
        <w:autoSpaceDN w:val="0"/>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lang w:val="zh-CN"/>
        </w:rPr>
        <w:t>2</w:t>
      </w:r>
      <w:r>
        <w:rPr>
          <w:rFonts w:eastAsia="仿宋_GB2312" w:hint="eastAsia"/>
          <w:color w:val="000000"/>
          <w:kern w:val="0"/>
          <w:sz w:val="32"/>
          <w:szCs w:val="32"/>
          <w:lang w:val="zh-CN"/>
        </w:rPr>
        <w:t>.</w:t>
      </w:r>
      <w:r>
        <w:rPr>
          <w:rFonts w:eastAsia="仿宋_GB2312" w:hint="eastAsia"/>
          <w:color w:val="000000"/>
          <w:kern w:val="0"/>
          <w:sz w:val="32"/>
          <w:szCs w:val="32"/>
          <w:lang w:val="zh-CN"/>
        </w:rPr>
        <w:t>过敏反应：偶有过敏反应，通常为皮肤反应（例如皮疹、瘙痒）。</w:t>
      </w:r>
      <w:r>
        <w:rPr>
          <w:rFonts w:eastAsia="仿宋_GB2312" w:hint="eastAsia"/>
          <w:kern w:val="0"/>
          <w:sz w:val="32"/>
          <w:szCs w:val="32"/>
          <w:lang w:val="zh-CN"/>
        </w:rPr>
        <w:t>个别病例出现严重皮肤反应，如中毒性表皮坏死综合征、史蒂文斯</w:t>
      </w:r>
      <w:r>
        <w:rPr>
          <w:rFonts w:eastAsia="仿宋_GB2312"/>
          <w:kern w:val="0"/>
          <w:sz w:val="32"/>
          <w:szCs w:val="32"/>
          <w:lang w:val="zh-CN"/>
        </w:rPr>
        <w:t>-</w:t>
      </w:r>
      <w:r>
        <w:rPr>
          <w:rFonts w:eastAsia="仿宋_GB2312"/>
          <w:kern w:val="0"/>
          <w:sz w:val="32"/>
          <w:szCs w:val="32"/>
          <w:lang w:val="zh-CN"/>
        </w:rPr>
        <w:t>约翰逊综合征。此外，还可能出现多形性红斑、剥脱性皮炎。</w:t>
      </w:r>
      <w:r>
        <w:rPr>
          <w:rFonts w:eastAsia="仿宋_GB2312" w:hint="eastAsia"/>
          <w:color w:val="000000"/>
          <w:kern w:val="0"/>
          <w:sz w:val="32"/>
          <w:szCs w:val="32"/>
          <w:lang w:val="zh-CN"/>
        </w:rPr>
        <w:t>出现荨麻疹时（青霉素过敏即发荨麻疹反应）必须停用本药。也不能继续用其它青霉素类抗菌药治疗。</w:t>
      </w:r>
    </w:p>
    <w:p w:rsidR="006C0424" w:rsidRDefault="006C0424">
      <w:pPr>
        <w:autoSpaceDE w:val="0"/>
        <w:autoSpaceDN w:val="0"/>
        <w:adjustRightInd w:val="0"/>
        <w:spacing w:line="560" w:lineRule="exact"/>
        <w:ind w:firstLineChars="200" w:firstLine="640"/>
        <w:rPr>
          <w:rFonts w:eastAsia="仿宋_GB2312"/>
          <w:color w:val="FF0000"/>
          <w:kern w:val="0"/>
          <w:sz w:val="32"/>
          <w:szCs w:val="32"/>
          <w:lang w:val="zh-CN"/>
        </w:rPr>
      </w:pPr>
      <w:r>
        <w:rPr>
          <w:rFonts w:eastAsia="仿宋_GB2312" w:hint="eastAsia"/>
          <w:color w:val="000000"/>
          <w:kern w:val="0"/>
          <w:sz w:val="32"/>
          <w:szCs w:val="32"/>
          <w:lang w:val="zh-CN"/>
        </w:rPr>
        <w:t>严重其他罕见过敏反应有嗜酸红细胞增多、药物热、急性间质性肾炎及脉管炎。</w:t>
      </w:r>
      <w:r>
        <w:rPr>
          <w:rFonts w:eastAsia="仿宋_GB2312" w:hint="eastAsia"/>
          <w:kern w:val="0"/>
          <w:sz w:val="32"/>
          <w:szCs w:val="32"/>
          <w:lang w:val="zh-CN"/>
        </w:rPr>
        <w:t>此外还可能出现喉水肿、血管神经性水肿、血清病样反应、溶血性贫血。</w:t>
      </w:r>
      <w:r>
        <w:rPr>
          <w:rFonts w:eastAsia="仿宋_GB2312" w:hint="eastAsia"/>
          <w:color w:val="000000"/>
          <w:kern w:val="0"/>
          <w:sz w:val="32"/>
          <w:szCs w:val="32"/>
          <w:lang w:val="zh-CN"/>
        </w:rPr>
        <w:t>个别病例出现致命的过敏性休克，常用的急救措施包括立即静脉注射肾上腺素、静脉注射扩容代用品及静注高剂量皮质类固醇（成人用量相当于</w:t>
      </w:r>
      <w:r>
        <w:rPr>
          <w:rFonts w:eastAsia="仿宋_GB2312"/>
          <w:color w:val="000000"/>
          <w:kern w:val="0"/>
          <w:sz w:val="32"/>
          <w:szCs w:val="32"/>
          <w:lang w:val="zh-CN"/>
        </w:rPr>
        <w:t>250</w:t>
      </w:r>
      <w:r>
        <w:rPr>
          <w:rFonts w:eastAsia="仿宋_GB2312" w:hint="eastAsia"/>
          <w:color w:val="000000"/>
          <w:kern w:val="0"/>
          <w:sz w:val="32"/>
          <w:szCs w:val="32"/>
          <w:lang w:val="zh-CN"/>
        </w:rPr>
        <w:t>～</w:t>
      </w:r>
      <w:r>
        <w:rPr>
          <w:rFonts w:eastAsia="仿宋_GB2312"/>
          <w:color w:val="000000"/>
          <w:kern w:val="0"/>
          <w:sz w:val="32"/>
          <w:szCs w:val="32"/>
          <w:lang w:val="zh-CN"/>
        </w:rPr>
        <w:t>1000mg</w:t>
      </w:r>
      <w:r>
        <w:rPr>
          <w:rFonts w:eastAsia="仿宋_GB2312" w:hint="eastAsia"/>
          <w:color w:val="000000"/>
          <w:kern w:val="0"/>
          <w:sz w:val="32"/>
          <w:szCs w:val="32"/>
          <w:lang w:val="zh-CN"/>
        </w:rPr>
        <w:t>氢化</w:t>
      </w:r>
      <w:r>
        <w:rPr>
          <w:rFonts w:eastAsia="仿宋_GB2312" w:hint="eastAsia"/>
          <w:color w:val="000000"/>
          <w:kern w:val="0"/>
          <w:sz w:val="32"/>
          <w:szCs w:val="32"/>
          <w:lang w:val="zh-CN"/>
        </w:rPr>
        <w:lastRenderedPageBreak/>
        <w:t>泼尼松）等。</w:t>
      </w:r>
    </w:p>
    <w:p w:rsidR="006C0424" w:rsidRDefault="006C0424">
      <w:pPr>
        <w:autoSpaceDE w:val="0"/>
        <w:autoSpaceDN w:val="0"/>
        <w:adjustRightInd w:val="0"/>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3</w:t>
      </w:r>
      <w:r>
        <w:rPr>
          <w:rFonts w:eastAsia="仿宋_GB2312"/>
          <w:color w:val="000000"/>
          <w:kern w:val="0"/>
          <w:sz w:val="32"/>
          <w:szCs w:val="32"/>
        </w:rPr>
        <w:t>.</w:t>
      </w:r>
      <w:r>
        <w:rPr>
          <w:rFonts w:eastAsia="仿宋_GB2312" w:hint="eastAsia"/>
          <w:color w:val="000000"/>
          <w:kern w:val="0"/>
          <w:sz w:val="32"/>
          <w:szCs w:val="32"/>
          <w:lang w:val="zh-CN"/>
        </w:rPr>
        <w:t>血液系统反应：用高剂量本品时罕见血小板功能紊乱，如出血时间延长、紫癜或黏膜出血，通常仅见于严重肾功能损害患者中。若临床上发生出血，且出血的其他原因不明时，必须停用本品。个别患者出现白细胞减少、粒细胞缺乏症、贫血、血小板减少症。长期用药应监测血象。</w:t>
      </w:r>
    </w:p>
    <w:p w:rsidR="006C0424" w:rsidRDefault="006C0424">
      <w:pPr>
        <w:autoSpaceDE w:val="0"/>
        <w:autoSpaceDN w:val="0"/>
        <w:adjustRightInd w:val="0"/>
        <w:spacing w:line="560" w:lineRule="exact"/>
        <w:ind w:firstLineChars="200" w:firstLine="640"/>
        <w:rPr>
          <w:rFonts w:eastAsia="仿宋_GB2312"/>
          <w:color w:val="FF0000"/>
          <w:kern w:val="0"/>
          <w:sz w:val="32"/>
          <w:szCs w:val="32"/>
          <w:lang w:val="zh-CN"/>
        </w:rPr>
      </w:pPr>
      <w:r>
        <w:rPr>
          <w:rFonts w:eastAsia="仿宋_GB2312"/>
          <w:color w:val="000000"/>
          <w:kern w:val="0"/>
          <w:sz w:val="32"/>
          <w:szCs w:val="32"/>
          <w:lang w:val="zh-CN"/>
        </w:rPr>
        <w:t>4</w:t>
      </w:r>
      <w:r>
        <w:rPr>
          <w:rFonts w:eastAsia="仿宋_GB2312"/>
          <w:color w:val="000000"/>
          <w:kern w:val="0"/>
          <w:sz w:val="32"/>
          <w:szCs w:val="32"/>
        </w:rPr>
        <w:t>.</w:t>
      </w:r>
      <w:r>
        <w:rPr>
          <w:rFonts w:eastAsia="仿宋_GB2312" w:hint="eastAsia"/>
          <w:color w:val="000000"/>
          <w:kern w:val="0"/>
          <w:sz w:val="32"/>
          <w:szCs w:val="32"/>
          <w:lang w:val="zh-CN"/>
        </w:rPr>
        <w:t>神经系统反应：高剂量静注青霉素类药物，因脑脊液中药物浓度过高，可能出现激惹、肌肉痉挛及惊厥等。肾功能损伤患者若不调整剂量，由于大脑疾病增加了药物进入脑脊液，可增加惊厥发生率。</w:t>
      </w:r>
      <w:r>
        <w:rPr>
          <w:rFonts w:eastAsia="仿宋_GB2312" w:hint="eastAsia"/>
          <w:kern w:val="0"/>
          <w:sz w:val="32"/>
          <w:szCs w:val="32"/>
          <w:lang w:val="zh-CN"/>
        </w:rPr>
        <w:t>此外还可能出现味觉刺激、头晕、头痛、感觉减退、震颤、局部麻木、嗜睡、晕厥等。</w:t>
      </w:r>
    </w:p>
    <w:p w:rsidR="006C0424" w:rsidRDefault="006C0424">
      <w:pPr>
        <w:autoSpaceDE w:val="0"/>
        <w:autoSpaceDN w:val="0"/>
        <w:adjustRightInd w:val="0"/>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5</w:t>
      </w:r>
      <w:r>
        <w:rPr>
          <w:rFonts w:eastAsia="仿宋_GB2312"/>
          <w:color w:val="000000"/>
          <w:kern w:val="0"/>
          <w:sz w:val="32"/>
          <w:szCs w:val="32"/>
        </w:rPr>
        <w:t>.</w:t>
      </w:r>
      <w:r>
        <w:rPr>
          <w:rFonts w:eastAsia="仿宋_GB2312"/>
          <w:color w:val="000000"/>
          <w:kern w:val="0"/>
          <w:sz w:val="32"/>
          <w:szCs w:val="32"/>
          <w:lang w:val="zh-CN"/>
        </w:rPr>
        <w:t>全身性和给药部位反应：偶见注射部位疼痛，罕见血栓性静脉炎。</w:t>
      </w:r>
      <w:r>
        <w:rPr>
          <w:rFonts w:eastAsia="仿宋_GB2312" w:hint="eastAsia"/>
          <w:kern w:val="0"/>
          <w:sz w:val="32"/>
          <w:szCs w:val="32"/>
          <w:lang w:val="zh-CN"/>
        </w:rPr>
        <w:t>还可能出现胸部不适、寒战、发热、肿胀、乏力、注射部位皮疹、瘙痒等。</w:t>
      </w:r>
    </w:p>
    <w:p w:rsidR="006C0424" w:rsidRDefault="006C0424">
      <w:pPr>
        <w:autoSpaceDE w:val="0"/>
        <w:autoSpaceDN w:val="0"/>
        <w:adjustRightInd w:val="0"/>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6</w:t>
      </w:r>
      <w:r>
        <w:rPr>
          <w:rFonts w:eastAsia="仿宋_GB2312"/>
          <w:color w:val="000000"/>
          <w:kern w:val="0"/>
          <w:sz w:val="32"/>
          <w:szCs w:val="32"/>
        </w:rPr>
        <w:t>.</w:t>
      </w:r>
      <w:r>
        <w:rPr>
          <w:rFonts w:eastAsia="仿宋_GB2312"/>
          <w:color w:val="000000"/>
          <w:kern w:val="0"/>
          <w:sz w:val="32"/>
          <w:szCs w:val="32"/>
          <w:lang w:val="zh-CN"/>
        </w:rPr>
        <w:t>各类检查</w:t>
      </w:r>
      <w:r>
        <w:rPr>
          <w:rFonts w:eastAsia="仿宋_GB2312" w:hint="eastAsia"/>
          <w:color w:val="000000"/>
          <w:kern w:val="0"/>
          <w:sz w:val="32"/>
          <w:szCs w:val="32"/>
          <w:lang w:val="zh-CN"/>
        </w:rPr>
        <w:t>异常</w:t>
      </w:r>
      <w:r>
        <w:rPr>
          <w:rFonts w:eastAsia="仿宋_GB2312"/>
          <w:color w:val="000000"/>
          <w:kern w:val="0"/>
          <w:sz w:val="32"/>
          <w:szCs w:val="32"/>
          <w:lang w:val="zh-CN"/>
        </w:rPr>
        <w:t>：转氨酶（</w:t>
      </w:r>
      <w:r>
        <w:rPr>
          <w:rFonts w:eastAsia="仿宋_GB2312"/>
          <w:color w:val="000000"/>
          <w:kern w:val="0"/>
          <w:sz w:val="32"/>
          <w:szCs w:val="32"/>
          <w:lang w:val="zh-CN"/>
        </w:rPr>
        <w:t>AST</w:t>
      </w:r>
      <w:r>
        <w:rPr>
          <w:rFonts w:eastAsia="仿宋_GB2312" w:hint="eastAsia"/>
          <w:color w:val="000000"/>
          <w:kern w:val="0"/>
          <w:sz w:val="32"/>
          <w:szCs w:val="32"/>
          <w:lang w:val="zh-CN"/>
        </w:rPr>
        <w:t>，</w:t>
      </w:r>
      <w:r>
        <w:rPr>
          <w:rFonts w:eastAsia="仿宋_GB2312"/>
          <w:color w:val="000000"/>
          <w:kern w:val="0"/>
          <w:sz w:val="32"/>
          <w:szCs w:val="32"/>
          <w:lang w:val="zh-CN"/>
        </w:rPr>
        <w:t>ALT</w:t>
      </w:r>
      <w:r>
        <w:rPr>
          <w:rFonts w:eastAsia="仿宋_GB2312" w:hint="eastAsia"/>
          <w:color w:val="000000"/>
          <w:kern w:val="0"/>
          <w:sz w:val="32"/>
          <w:szCs w:val="32"/>
          <w:lang w:val="zh-CN"/>
        </w:rPr>
        <w:t>）一过性升高或碱性磷酸酶升高、低钾血症、胆红素升高、肌酐升高、非蛋白氮升高及</w:t>
      </w:r>
      <w:r>
        <w:rPr>
          <w:rFonts w:eastAsia="仿宋_GB2312"/>
          <w:color w:val="000000"/>
          <w:kern w:val="0"/>
          <w:sz w:val="32"/>
          <w:szCs w:val="32"/>
          <w:lang w:val="zh-CN"/>
        </w:rPr>
        <w:t>Coombs</w:t>
      </w:r>
      <w:r>
        <w:rPr>
          <w:rFonts w:eastAsia="仿宋_GB2312" w:hint="eastAsia"/>
          <w:color w:val="000000"/>
          <w:kern w:val="0"/>
          <w:sz w:val="32"/>
          <w:szCs w:val="32"/>
          <w:lang w:val="zh-CN"/>
        </w:rPr>
        <w:t>试验阳性等。</w:t>
      </w:r>
    </w:p>
    <w:p w:rsidR="006C0424" w:rsidRDefault="006C0424">
      <w:pPr>
        <w:autoSpaceDE w:val="0"/>
        <w:autoSpaceDN w:val="0"/>
        <w:adjustRightInd w:val="0"/>
        <w:spacing w:line="560" w:lineRule="exact"/>
        <w:ind w:firstLineChars="200" w:firstLine="640"/>
        <w:rPr>
          <w:rFonts w:eastAsia="仿宋_GB2312"/>
          <w:kern w:val="0"/>
          <w:sz w:val="32"/>
          <w:szCs w:val="32"/>
          <w:lang w:val="zh-CN"/>
        </w:rPr>
      </w:pPr>
      <w:r>
        <w:rPr>
          <w:rFonts w:eastAsia="仿宋_GB2312"/>
          <w:kern w:val="0"/>
          <w:sz w:val="32"/>
          <w:szCs w:val="32"/>
          <w:lang w:val="zh-CN"/>
        </w:rPr>
        <w:t>7</w:t>
      </w:r>
      <w:r>
        <w:rPr>
          <w:rFonts w:eastAsia="仿宋_GB2312"/>
          <w:kern w:val="0"/>
          <w:sz w:val="32"/>
          <w:szCs w:val="32"/>
        </w:rPr>
        <w:t>.</w:t>
      </w:r>
      <w:r>
        <w:rPr>
          <w:rFonts w:eastAsia="仿宋_GB2312"/>
          <w:kern w:val="0"/>
          <w:sz w:val="32"/>
          <w:szCs w:val="32"/>
          <w:lang w:val="zh-CN"/>
        </w:rPr>
        <w:t>其他</w:t>
      </w:r>
      <w:r>
        <w:rPr>
          <w:rFonts w:eastAsia="仿宋_GB2312" w:hint="eastAsia"/>
          <w:kern w:val="0"/>
          <w:sz w:val="32"/>
          <w:szCs w:val="32"/>
          <w:lang w:val="zh-CN"/>
        </w:rPr>
        <w:t>反应</w:t>
      </w:r>
      <w:r>
        <w:rPr>
          <w:rFonts w:eastAsia="仿宋_GB2312"/>
          <w:kern w:val="0"/>
          <w:sz w:val="32"/>
          <w:szCs w:val="32"/>
          <w:lang w:val="zh-CN"/>
        </w:rPr>
        <w:t>：关节疼痛、肌痛、呼吸困难、心悸、潮红、血压升高、血压降低、眼部周围水肿、视觉损害、耳鸣、眩晕、抽动、烦躁不安、肝功能异常、血尿等。</w:t>
      </w:r>
    </w:p>
    <w:p w:rsidR="006C0424" w:rsidRDefault="006C0424">
      <w:pPr>
        <w:autoSpaceDE w:val="0"/>
        <w:autoSpaceDN w:val="0"/>
        <w:adjustRightInd w:val="0"/>
        <w:spacing w:line="560" w:lineRule="exact"/>
        <w:ind w:firstLineChars="200" w:firstLine="640"/>
        <w:rPr>
          <w:rFonts w:eastAsia="仿宋_GB2312"/>
          <w:kern w:val="0"/>
          <w:sz w:val="32"/>
          <w:szCs w:val="32"/>
          <w:lang w:val="zh-CN"/>
        </w:rPr>
      </w:pPr>
      <w:r>
        <w:rPr>
          <w:rFonts w:eastAsia="仿宋_GB2312"/>
          <w:kern w:val="0"/>
          <w:sz w:val="32"/>
          <w:szCs w:val="32"/>
          <w:lang w:val="zh-CN"/>
        </w:rPr>
        <w:t>8</w:t>
      </w:r>
      <w:r>
        <w:rPr>
          <w:rFonts w:eastAsia="仿宋_GB2312"/>
          <w:kern w:val="0"/>
          <w:sz w:val="32"/>
          <w:szCs w:val="32"/>
        </w:rPr>
        <w:t>.</w:t>
      </w:r>
      <w:r>
        <w:rPr>
          <w:rFonts w:eastAsia="仿宋_GB2312"/>
          <w:kern w:val="0"/>
          <w:sz w:val="32"/>
          <w:szCs w:val="32"/>
          <w:lang w:val="zh-CN"/>
        </w:rPr>
        <w:t>长期或重复使用可导致耐药细菌或条件性致病真菌的共生或二次感染。</w:t>
      </w:r>
    </w:p>
    <w:p w:rsidR="006C0424" w:rsidRDefault="006C0424">
      <w:pPr>
        <w:autoSpaceDE w:val="0"/>
        <w:autoSpaceDN w:val="0"/>
        <w:adjustRightInd w:val="0"/>
        <w:spacing w:line="560" w:lineRule="exact"/>
        <w:ind w:firstLineChars="200" w:firstLine="640"/>
        <w:rPr>
          <w:rFonts w:eastAsia="仿宋_GB2312"/>
          <w:kern w:val="0"/>
          <w:sz w:val="32"/>
          <w:szCs w:val="32"/>
          <w:lang w:val="zh-CN"/>
        </w:rPr>
      </w:pPr>
      <w:r>
        <w:rPr>
          <w:rFonts w:eastAsia="仿宋_GB2312"/>
          <w:kern w:val="0"/>
          <w:sz w:val="32"/>
          <w:szCs w:val="32"/>
          <w:lang w:val="zh-CN"/>
        </w:rPr>
        <w:t>9</w:t>
      </w:r>
      <w:r>
        <w:rPr>
          <w:rFonts w:eastAsia="仿宋_GB2312"/>
          <w:kern w:val="0"/>
          <w:sz w:val="32"/>
          <w:szCs w:val="32"/>
        </w:rPr>
        <w:t>.</w:t>
      </w:r>
      <w:r>
        <w:rPr>
          <w:rFonts w:eastAsia="仿宋_GB2312"/>
          <w:kern w:val="0"/>
          <w:sz w:val="32"/>
          <w:szCs w:val="32"/>
          <w:lang w:val="zh-CN"/>
        </w:rPr>
        <w:t>使用青霉素治疗梅毒或其他螺旋体感染的患者可能会发</w:t>
      </w:r>
      <w:r>
        <w:rPr>
          <w:rFonts w:eastAsia="仿宋_GB2312"/>
          <w:kern w:val="0"/>
          <w:sz w:val="32"/>
          <w:szCs w:val="32"/>
          <w:lang w:val="zh-CN"/>
        </w:rPr>
        <w:lastRenderedPageBreak/>
        <w:t>生赫氏反应（</w:t>
      </w:r>
      <w:r>
        <w:rPr>
          <w:rFonts w:eastAsia="仿宋_GB2312"/>
          <w:kern w:val="0"/>
          <w:sz w:val="32"/>
          <w:szCs w:val="32"/>
          <w:lang w:val="zh-CN"/>
        </w:rPr>
        <w:t>Jarisch-Herxheimer reaction</w:t>
      </w:r>
      <w:r>
        <w:rPr>
          <w:rFonts w:eastAsia="仿宋_GB2312"/>
          <w:kern w:val="0"/>
          <w:sz w:val="32"/>
          <w:szCs w:val="32"/>
          <w:lang w:val="zh-CN"/>
        </w:rPr>
        <w:t>）。</w:t>
      </w:r>
    </w:p>
    <w:p w:rsidR="006C0424" w:rsidRDefault="006C0424">
      <w:pPr>
        <w:overflowPunct w:val="0"/>
        <w:spacing w:line="560" w:lineRule="exact"/>
        <w:ind w:firstLineChars="200" w:firstLine="640"/>
        <w:rPr>
          <w:rFonts w:ascii="仿宋" w:eastAsia="仿宋" w:hAnsi="仿宋"/>
          <w:sz w:val="32"/>
          <w:szCs w:val="32"/>
        </w:rPr>
      </w:pPr>
      <w:r>
        <w:rPr>
          <w:rFonts w:eastAsia="黑体" w:hint="eastAsia"/>
          <w:sz w:val="32"/>
          <w:szCs w:val="32"/>
        </w:rPr>
        <w:t>二</w:t>
      </w:r>
      <w:r>
        <w:rPr>
          <w:rFonts w:eastAsia="黑体"/>
          <w:sz w:val="32"/>
          <w:szCs w:val="32"/>
        </w:rPr>
        <w:t>、【</w:t>
      </w:r>
      <w:r>
        <w:rPr>
          <w:rFonts w:eastAsia="黑体" w:hint="eastAsia"/>
          <w:sz w:val="32"/>
          <w:szCs w:val="32"/>
        </w:rPr>
        <w:t>注意事项</w:t>
      </w:r>
      <w:r>
        <w:rPr>
          <w:rFonts w:eastAsia="黑体"/>
          <w:sz w:val="32"/>
          <w:szCs w:val="32"/>
        </w:rPr>
        <w:t>】项下</w:t>
      </w:r>
      <w:r>
        <w:rPr>
          <w:rFonts w:eastAsia="黑体" w:hint="eastAsia"/>
          <w:sz w:val="32"/>
          <w:szCs w:val="32"/>
        </w:rPr>
        <w:t>应包含以下</w:t>
      </w:r>
      <w:r>
        <w:rPr>
          <w:rFonts w:eastAsia="黑体"/>
          <w:sz w:val="32"/>
          <w:szCs w:val="32"/>
        </w:rPr>
        <w:t>内容：</w:t>
      </w:r>
      <w:r>
        <w:rPr>
          <w:rFonts w:ascii="仿宋" w:eastAsia="仿宋" w:hAnsi="仿宋"/>
          <w:sz w:val="32"/>
          <w:szCs w:val="32"/>
        </w:rPr>
        <w:t xml:space="preserve"> </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用药前须做青霉素皮肤试验，阳性者禁用。</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交叉过敏反应：对一种青霉素类抗生素过敏者可能对其他青霉素类抗生素也过敏</w:t>
      </w:r>
      <w:r>
        <w:rPr>
          <w:rFonts w:eastAsia="仿宋_GB2312" w:hint="eastAsia"/>
          <w:sz w:val="32"/>
          <w:szCs w:val="32"/>
        </w:rPr>
        <w:t>，</w:t>
      </w:r>
      <w:r>
        <w:rPr>
          <w:rFonts w:eastAsia="仿宋_GB2312"/>
          <w:sz w:val="32"/>
          <w:szCs w:val="32"/>
        </w:rPr>
        <w:t>也可能对青霉胺或头孢菌素类过敏。</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接受美洛西林钠治疗的患者有发生严重过敏反应的风险，包括过敏性休克，严重者可导致死亡。过敏反应更容易发生在具有青霉素类药物过敏史和</w:t>
      </w:r>
      <w:r>
        <w:rPr>
          <w:rFonts w:eastAsia="仿宋_GB2312"/>
          <w:sz w:val="32"/>
          <w:szCs w:val="32"/>
        </w:rPr>
        <w:t>/</w:t>
      </w:r>
      <w:r>
        <w:rPr>
          <w:rFonts w:eastAsia="仿宋_GB2312"/>
          <w:sz w:val="32"/>
          <w:szCs w:val="32"/>
        </w:rPr>
        <w:t>或对多种过敏原有过敏史的患者中，有明显过敏和</w:t>
      </w:r>
      <w:r>
        <w:rPr>
          <w:rFonts w:eastAsia="仿宋_GB2312"/>
          <w:sz w:val="32"/>
          <w:szCs w:val="32"/>
        </w:rPr>
        <w:t>/</w:t>
      </w:r>
      <w:r>
        <w:rPr>
          <w:rFonts w:eastAsia="仿宋_GB2312"/>
          <w:sz w:val="32"/>
          <w:szCs w:val="32"/>
        </w:rPr>
        <w:t>或哮喘病史的患者（有哮喘、湿疹、枯草热、荨麻疹等过敏性疾病史者）应慎用。一旦出现呼吸困难、血压下降、意识丧失等症状，应立即停药，并采取适当的紧急救治措施包括给予肾上腺素。</w:t>
      </w:r>
    </w:p>
    <w:p w:rsidR="006C0424" w:rsidRDefault="006C0424">
      <w:pPr>
        <w:overflowPunct w:val="0"/>
        <w:spacing w:line="560" w:lineRule="exact"/>
        <w:ind w:firstLineChars="200" w:firstLine="640"/>
        <w:rPr>
          <w:rFonts w:eastAsia="仿宋_GB2312"/>
          <w:color w:val="000000"/>
          <w:sz w:val="32"/>
          <w:szCs w:val="32"/>
        </w:rPr>
      </w:pPr>
      <w:r>
        <w:rPr>
          <w:rFonts w:eastAsia="仿宋_GB2312"/>
          <w:sz w:val="32"/>
          <w:szCs w:val="32"/>
        </w:rPr>
        <w:t>4.</w:t>
      </w:r>
      <w:r>
        <w:rPr>
          <w:rFonts w:eastAsia="仿宋_GB2312"/>
          <w:sz w:val="32"/>
          <w:szCs w:val="32"/>
        </w:rPr>
        <w:t>本品不宜与其他药品配伍使用，与其他药品序贯使用时应更换输液器。</w:t>
      </w:r>
      <w:r>
        <w:rPr>
          <w:rFonts w:eastAsia="仿宋_GB2312" w:hint="eastAsia"/>
          <w:color w:val="000000"/>
          <w:sz w:val="32"/>
          <w:szCs w:val="32"/>
        </w:rPr>
        <w:t>注射用美洛西林钠与酸碱性较强的药物配伍，</w:t>
      </w:r>
      <w:r>
        <w:rPr>
          <w:rFonts w:eastAsia="仿宋_GB2312"/>
          <w:color w:val="000000"/>
          <w:sz w:val="32"/>
          <w:szCs w:val="32"/>
        </w:rPr>
        <w:t>pH4.5</w:t>
      </w:r>
      <w:r>
        <w:rPr>
          <w:rFonts w:eastAsia="仿宋_GB2312"/>
          <w:color w:val="000000"/>
          <w:sz w:val="32"/>
          <w:szCs w:val="32"/>
        </w:rPr>
        <w:t>以下会有沉淀发生，</w:t>
      </w:r>
      <w:r>
        <w:rPr>
          <w:rFonts w:eastAsia="仿宋_GB2312"/>
          <w:color w:val="000000"/>
          <w:sz w:val="32"/>
          <w:szCs w:val="32"/>
        </w:rPr>
        <w:t>pH4.0</w:t>
      </w:r>
      <w:r>
        <w:rPr>
          <w:rFonts w:eastAsia="仿宋_GB2312"/>
          <w:color w:val="000000"/>
          <w:sz w:val="32"/>
          <w:szCs w:val="32"/>
        </w:rPr>
        <w:t>以下及</w:t>
      </w:r>
      <w:r>
        <w:rPr>
          <w:rFonts w:eastAsia="仿宋_GB2312"/>
          <w:color w:val="000000"/>
          <w:sz w:val="32"/>
          <w:szCs w:val="32"/>
        </w:rPr>
        <w:t>pH8.0</w:t>
      </w:r>
      <w:r>
        <w:rPr>
          <w:rFonts w:eastAsia="仿宋_GB2312"/>
          <w:color w:val="000000"/>
          <w:sz w:val="32"/>
          <w:szCs w:val="32"/>
        </w:rPr>
        <w:t>以上效价下降较快。注射用美洛西林钠静脉输液加入头孢噻吩、林可霉素、四环素、万古霉素、琥乙红霉素、两性霉素</w:t>
      </w:r>
      <w:r>
        <w:rPr>
          <w:rFonts w:eastAsia="仿宋_GB2312"/>
          <w:color w:val="000000"/>
          <w:sz w:val="32"/>
          <w:szCs w:val="32"/>
        </w:rPr>
        <w:t>B</w:t>
      </w:r>
      <w:r>
        <w:rPr>
          <w:rFonts w:eastAsia="仿宋_GB2312"/>
          <w:color w:val="000000"/>
          <w:sz w:val="32"/>
          <w:szCs w:val="32"/>
        </w:rPr>
        <w:t>、去甲肾上腺素、间羟胺、苯妥英钠、盐酸羟嗪、丙氯拉嗪、异丙嗪、维生素</w:t>
      </w:r>
      <w:r>
        <w:rPr>
          <w:rFonts w:eastAsia="仿宋_GB2312"/>
          <w:color w:val="000000"/>
          <w:sz w:val="32"/>
          <w:szCs w:val="32"/>
        </w:rPr>
        <w:t>B</w:t>
      </w:r>
      <w:r>
        <w:rPr>
          <w:rFonts w:eastAsia="仿宋_GB2312"/>
          <w:color w:val="000000"/>
          <w:sz w:val="32"/>
          <w:szCs w:val="32"/>
        </w:rPr>
        <w:t>族、维生素</w:t>
      </w:r>
      <w:r>
        <w:rPr>
          <w:rFonts w:eastAsia="仿宋_GB2312"/>
          <w:color w:val="000000"/>
          <w:sz w:val="32"/>
          <w:szCs w:val="32"/>
        </w:rPr>
        <w:t>C</w:t>
      </w:r>
      <w:r>
        <w:rPr>
          <w:rFonts w:eastAsia="仿宋_GB2312"/>
          <w:color w:val="000000"/>
          <w:sz w:val="32"/>
          <w:szCs w:val="32"/>
        </w:rPr>
        <w:t>等后将出现混浊。</w:t>
      </w:r>
    </w:p>
    <w:p w:rsidR="006C0424" w:rsidRDefault="006C0424">
      <w:pPr>
        <w:overflowPunct w:val="0"/>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肾功能减退患者应适当降低用量。</w:t>
      </w:r>
      <w:r>
        <w:rPr>
          <w:rFonts w:eastAsia="仿宋_GB2312"/>
          <w:color w:val="000000"/>
          <w:sz w:val="32"/>
          <w:szCs w:val="32"/>
        </w:rPr>
        <w:t xml:space="preserve"> </w:t>
      </w:r>
    </w:p>
    <w:p w:rsidR="006C0424" w:rsidRDefault="006C0424">
      <w:pPr>
        <w:overflowPunct w:val="0"/>
        <w:spacing w:line="560" w:lineRule="exact"/>
        <w:ind w:firstLineChars="200" w:firstLine="640"/>
        <w:rPr>
          <w:rFonts w:eastAsia="仿宋_GB2312"/>
          <w:color w:val="FF0000"/>
          <w:sz w:val="32"/>
          <w:szCs w:val="32"/>
        </w:rPr>
      </w:pPr>
      <w:r>
        <w:rPr>
          <w:rFonts w:eastAsia="仿宋_GB2312"/>
          <w:sz w:val="32"/>
          <w:szCs w:val="32"/>
        </w:rPr>
        <w:t>6.</w:t>
      </w:r>
      <w:r>
        <w:rPr>
          <w:rFonts w:eastAsia="仿宋_GB2312"/>
          <w:sz w:val="32"/>
          <w:szCs w:val="32"/>
        </w:rPr>
        <w:t>大剂量静脉给予美洛西林钠或有严重肾功能不全的患者，可能会引起神经毒性反应，包括反射亢进、肌阵挛性抽搐、惊厥和昏迷。</w:t>
      </w:r>
    </w:p>
    <w:p w:rsidR="006C0424" w:rsidRDefault="006C0424">
      <w:pPr>
        <w:overflowPunct w:val="0"/>
        <w:spacing w:line="560" w:lineRule="exact"/>
        <w:ind w:firstLineChars="200" w:firstLine="640"/>
        <w:rPr>
          <w:rFonts w:eastAsia="仿宋_GB2312"/>
          <w:color w:val="FF0000"/>
          <w:sz w:val="32"/>
          <w:szCs w:val="32"/>
        </w:rPr>
      </w:pPr>
      <w:r>
        <w:rPr>
          <w:rFonts w:eastAsia="仿宋_GB2312"/>
          <w:sz w:val="32"/>
          <w:szCs w:val="32"/>
        </w:rPr>
        <w:lastRenderedPageBreak/>
        <w:t>7.</w:t>
      </w:r>
      <w:r>
        <w:rPr>
          <w:rFonts w:eastAsia="仿宋_GB2312"/>
          <w:sz w:val="32"/>
          <w:szCs w:val="32"/>
        </w:rPr>
        <w:t>与出血时间延长、紫癜和黏膜出血相关的血小板功能障碍主要发生在肾功能受损的患者中。若临床上发生出血，且出血的其他原因不明时，必须停用本药。</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严重电解质紊乱的患者使用本品时，应注意本品含钠的影响，大剂量美洛西林钠可出现高钠血症，有时低钾血症。使用保钾利尿药可能会有所帮助。长期大剂量治疗的患者，应监测电解质平衡、造血功能和肾功能。</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包括美洛西林在内的几乎所有的抗菌药物在应用中都曾有过艰难梭菌相关性腹泻（</w:t>
      </w:r>
      <w:r>
        <w:rPr>
          <w:rFonts w:eastAsia="仿宋_GB2312"/>
          <w:sz w:val="32"/>
          <w:szCs w:val="32"/>
        </w:rPr>
        <w:t>CDAD, Clostridium difficile associated diarrhea</w:t>
      </w:r>
      <w:r>
        <w:rPr>
          <w:rFonts w:eastAsia="仿宋_GB2312"/>
          <w:sz w:val="32"/>
          <w:szCs w:val="32"/>
        </w:rPr>
        <w:t>）的报道，其严重程度从轻度腹泻到致死性的结肠炎不等。抗菌药物治疗会改变患者结肠部位的正常菌群，导致艰难梭菌过度生长。</w:t>
      </w:r>
    </w:p>
    <w:p w:rsidR="006C0424" w:rsidRDefault="006C0424">
      <w:pPr>
        <w:overflowPunct w:val="0"/>
        <w:spacing w:line="560" w:lineRule="exact"/>
        <w:ind w:firstLineChars="200" w:firstLine="640"/>
        <w:rPr>
          <w:rFonts w:eastAsia="仿宋_GB2312"/>
          <w:sz w:val="32"/>
          <w:szCs w:val="32"/>
        </w:rPr>
      </w:pPr>
      <w:r>
        <w:rPr>
          <w:rFonts w:eastAsia="仿宋_GB2312" w:hint="eastAsia"/>
          <w:sz w:val="32"/>
          <w:szCs w:val="32"/>
        </w:rPr>
        <w:t>艰难梭菌产生的毒素</w:t>
      </w:r>
      <w:r>
        <w:rPr>
          <w:rFonts w:eastAsia="仿宋_GB2312"/>
          <w:sz w:val="32"/>
          <w:szCs w:val="32"/>
        </w:rPr>
        <w:t>A</w:t>
      </w:r>
      <w:r>
        <w:rPr>
          <w:rFonts w:eastAsia="仿宋_GB2312"/>
          <w:sz w:val="32"/>
          <w:szCs w:val="32"/>
        </w:rPr>
        <w:t>和</w:t>
      </w:r>
      <w:r>
        <w:rPr>
          <w:rFonts w:eastAsia="仿宋_GB2312"/>
          <w:sz w:val="32"/>
          <w:szCs w:val="32"/>
        </w:rPr>
        <w:t>B</w:t>
      </w:r>
      <w:r>
        <w:rPr>
          <w:rFonts w:eastAsia="仿宋_GB2312"/>
          <w:sz w:val="32"/>
          <w:szCs w:val="32"/>
        </w:rPr>
        <w:t>是导致</w:t>
      </w:r>
      <w:r>
        <w:rPr>
          <w:rFonts w:eastAsia="仿宋_GB2312"/>
          <w:sz w:val="32"/>
          <w:szCs w:val="32"/>
        </w:rPr>
        <w:t>CDAD</w:t>
      </w:r>
      <w:r>
        <w:rPr>
          <w:rFonts w:eastAsia="仿宋_GB2312"/>
          <w:sz w:val="32"/>
          <w:szCs w:val="32"/>
        </w:rPr>
        <w:t>发生的原因。艰难梭菌中产生高水平毒素的菌株可引起</w:t>
      </w:r>
      <w:r>
        <w:rPr>
          <w:rFonts w:eastAsia="仿宋_GB2312"/>
          <w:sz w:val="32"/>
          <w:szCs w:val="32"/>
        </w:rPr>
        <w:t>CDAD</w:t>
      </w:r>
      <w:r>
        <w:rPr>
          <w:rFonts w:eastAsia="仿宋_GB2312"/>
          <w:sz w:val="32"/>
          <w:szCs w:val="32"/>
        </w:rPr>
        <w:t>发病率和死亡率升高，由于这些感染属于抗微生物药物难治性感染，所以可能需要对此类患者进行结肠切除术。凡在使用抗生素后出现腹泻的患者，都必须考虑发生</w:t>
      </w:r>
      <w:r>
        <w:rPr>
          <w:rFonts w:eastAsia="仿宋_GB2312"/>
          <w:sz w:val="32"/>
          <w:szCs w:val="32"/>
        </w:rPr>
        <w:t>CDAD</w:t>
      </w:r>
      <w:r>
        <w:rPr>
          <w:rFonts w:eastAsia="仿宋_GB2312"/>
          <w:sz w:val="32"/>
          <w:szCs w:val="32"/>
        </w:rPr>
        <w:t>的可能性。曾有文献报道，在抗菌药物治疗结束</w:t>
      </w:r>
      <w:r>
        <w:rPr>
          <w:rFonts w:eastAsia="仿宋_GB2312"/>
          <w:sz w:val="32"/>
          <w:szCs w:val="32"/>
        </w:rPr>
        <w:t>2</w:t>
      </w:r>
      <w:r>
        <w:rPr>
          <w:rFonts w:eastAsia="仿宋_GB2312"/>
          <w:sz w:val="32"/>
          <w:szCs w:val="32"/>
        </w:rPr>
        <w:t>个月后发生</w:t>
      </w:r>
      <w:r>
        <w:rPr>
          <w:rFonts w:eastAsia="仿宋_GB2312"/>
          <w:sz w:val="32"/>
          <w:szCs w:val="32"/>
        </w:rPr>
        <w:t>CDAD</w:t>
      </w:r>
      <w:r>
        <w:rPr>
          <w:rFonts w:eastAsia="仿宋_GB2312"/>
          <w:sz w:val="32"/>
          <w:szCs w:val="32"/>
        </w:rPr>
        <w:t>，因此在进行</w:t>
      </w:r>
      <w:r>
        <w:rPr>
          <w:rFonts w:eastAsia="仿宋_GB2312"/>
          <w:sz w:val="32"/>
          <w:szCs w:val="32"/>
        </w:rPr>
        <w:t>CDAD</w:t>
      </w:r>
      <w:r>
        <w:rPr>
          <w:rFonts w:eastAsia="仿宋_GB2312"/>
          <w:sz w:val="32"/>
          <w:szCs w:val="32"/>
        </w:rPr>
        <w:t>鉴别时需要认真了解患者的病史。</w:t>
      </w:r>
    </w:p>
    <w:p w:rsidR="006C0424" w:rsidRDefault="006C0424">
      <w:pPr>
        <w:overflowPunct w:val="0"/>
        <w:spacing w:line="560" w:lineRule="exact"/>
        <w:ind w:firstLineChars="200" w:firstLine="640"/>
        <w:rPr>
          <w:rFonts w:eastAsia="仿宋_GB2312"/>
          <w:color w:val="FF0000"/>
          <w:sz w:val="32"/>
          <w:szCs w:val="32"/>
        </w:rPr>
      </w:pPr>
      <w:r>
        <w:rPr>
          <w:rFonts w:eastAsia="仿宋_GB2312" w:hint="eastAsia"/>
          <w:sz w:val="32"/>
          <w:szCs w:val="32"/>
        </w:rPr>
        <w:t>一旦怀疑或者确认患者发生了</w:t>
      </w:r>
      <w:r>
        <w:rPr>
          <w:rFonts w:eastAsia="仿宋_GB2312"/>
          <w:sz w:val="32"/>
          <w:szCs w:val="32"/>
        </w:rPr>
        <w:t>CDAD</w:t>
      </w:r>
      <w:r>
        <w:rPr>
          <w:rFonts w:eastAsia="仿宋_GB2312"/>
          <w:sz w:val="32"/>
          <w:szCs w:val="32"/>
        </w:rPr>
        <w:t>，可能需要停止患者正在接受的抗生素（对艰难梭菌有直接抑制作用的抗生素除外）。同时应根据临床指征，对患者进行适当的液体和电解质管理、补充蛋白、使用抗生素治疗艰难梭菌感染并进行手术评估。</w:t>
      </w:r>
    </w:p>
    <w:p w:rsidR="006C0424" w:rsidRDefault="006C0424">
      <w:pPr>
        <w:overflowPunct w:val="0"/>
        <w:spacing w:line="560" w:lineRule="exact"/>
        <w:ind w:firstLineChars="200" w:firstLine="640"/>
        <w:rPr>
          <w:rFonts w:eastAsia="仿宋_GB2312"/>
          <w:color w:val="FF0000"/>
          <w:sz w:val="32"/>
          <w:szCs w:val="32"/>
        </w:rPr>
      </w:pPr>
      <w:r>
        <w:rPr>
          <w:rFonts w:eastAsia="仿宋_GB2312"/>
          <w:sz w:val="32"/>
          <w:szCs w:val="32"/>
        </w:rPr>
        <w:lastRenderedPageBreak/>
        <w:t>10.</w:t>
      </w:r>
      <w:r>
        <w:rPr>
          <w:rFonts w:eastAsia="仿宋_GB2312"/>
          <w:sz w:val="32"/>
          <w:szCs w:val="32"/>
        </w:rPr>
        <w:t>长期或重复使用本品可导致耐药细菌或条件性致病真菌的共生或二次感染。</w:t>
      </w:r>
    </w:p>
    <w:p w:rsidR="006C0424" w:rsidRDefault="006C0424">
      <w:pPr>
        <w:overflowPunct w:val="0"/>
        <w:spacing w:line="560" w:lineRule="exact"/>
        <w:ind w:firstLineChars="200" w:firstLine="640"/>
        <w:rPr>
          <w:rFonts w:eastAsia="仿宋_GB2312"/>
          <w:sz w:val="32"/>
          <w:szCs w:val="32"/>
        </w:rPr>
      </w:pPr>
      <w:r>
        <w:rPr>
          <w:rFonts w:eastAsia="仿宋_GB2312"/>
          <w:color w:val="000000"/>
          <w:sz w:val="32"/>
          <w:szCs w:val="32"/>
        </w:rPr>
        <w:t>11.</w:t>
      </w:r>
      <w:r>
        <w:rPr>
          <w:rFonts w:eastAsia="仿宋_GB2312"/>
          <w:color w:val="000000"/>
          <w:sz w:val="32"/>
          <w:szCs w:val="32"/>
        </w:rPr>
        <w:t>使用本品期间，以硫酸铜法进行尿糖测定时可出现假阳性，用葡萄糖酶法者则不受影响。可使血清丙氨酸氨基转移酶或门冬氨酸氨基转移酶升高。</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12.</w:t>
      </w:r>
      <w:r>
        <w:rPr>
          <w:rFonts w:eastAsia="仿宋_GB2312"/>
          <w:sz w:val="32"/>
          <w:szCs w:val="32"/>
        </w:rPr>
        <w:t>注射液美洛西林钠与重金属，特别是铜、锌和汞呈配伍禁忌，因后者可破坏其氧化噻唑环。由锌化合物制造的橡皮管或瓶塞也可影响其活力。也可为氧化剂、还原剂或羟基化合物灭活。</w:t>
      </w:r>
    </w:p>
    <w:p w:rsidR="006C0424" w:rsidRDefault="006C0424">
      <w:pPr>
        <w:overflowPunct w:val="0"/>
        <w:spacing w:line="560" w:lineRule="exact"/>
        <w:ind w:firstLineChars="200" w:firstLine="640"/>
        <w:rPr>
          <w:rFonts w:ascii="仿宋" w:eastAsia="仿宋" w:hAnsi="仿宋"/>
          <w:sz w:val="32"/>
          <w:szCs w:val="32"/>
        </w:rPr>
      </w:pPr>
      <w:r>
        <w:rPr>
          <w:rFonts w:eastAsia="黑体" w:hint="eastAsia"/>
          <w:sz w:val="32"/>
          <w:szCs w:val="32"/>
        </w:rPr>
        <w:t>三、【老年人用药】项下修订为以下内容：</w:t>
      </w:r>
    </w:p>
    <w:p w:rsidR="006C0424" w:rsidRDefault="006C0424">
      <w:pPr>
        <w:overflowPunct w:val="0"/>
        <w:spacing w:line="560" w:lineRule="exact"/>
        <w:ind w:firstLineChars="200" w:firstLine="640"/>
        <w:rPr>
          <w:rFonts w:eastAsia="仿宋_GB2312"/>
          <w:strike/>
          <w:sz w:val="32"/>
          <w:szCs w:val="32"/>
        </w:rPr>
      </w:pPr>
      <w:r>
        <w:rPr>
          <w:rFonts w:eastAsia="仿宋_GB2312" w:hint="eastAsia"/>
          <w:sz w:val="32"/>
          <w:szCs w:val="32"/>
        </w:rPr>
        <w:t>通常，考虑到老年人较常出现肝脏、肾脏或心脏功能下降以及出现伴发病和合用其他药物治疗，使用本品时须调整剂量，监测肾功能有助于选择合理的剂量。</w:t>
      </w:r>
    </w:p>
    <w:p w:rsidR="006C0424" w:rsidRDefault="006C0424">
      <w:pPr>
        <w:overflowPunct w:val="0"/>
        <w:spacing w:line="560" w:lineRule="exact"/>
        <w:ind w:firstLineChars="200" w:firstLine="640"/>
        <w:rPr>
          <w:rFonts w:eastAsia="黑体"/>
          <w:sz w:val="32"/>
          <w:szCs w:val="32"/>
        </w:rPr>
      </w:pPr>
      <w:r>
        <w:rPr>
          <w:rFonts w:eastAsia="黑体" w:hint="eastAsia"/>
          <w:sz w:val="32"/>
          <w:szCs w:val="32"/>
        </w:rPr>
        <w:t>四、【药物相互作用】项下修订为以下内容：</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氯霉素、红霉素、四环素类等抗生素和磺胺药等抑菌剂可干扰本品的杀菌活性，不宜与本品合用，尤其是在治疗脑膜炎或急需杀菌剂的严重感染时。</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丙磺舒、阿司匹林、吲哚美辛、保泰松、磺胺药可减少本品自肾脏排泄，因此与本品合用时使其血药浓度增高，排泄时间延长，毒性也可能增加。</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与氨基糖苷类抗生素合用有协同作用，但混合后，两者的抗菌活性明显减弱，因此两药不能置同一容器内给药。</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本品与大剂量肝素、口服抗凝剂和其他影响凝血系统和</w:t>
      </w:r>
      <w:r>
        <w:rPr>
          <w:rFonts w:eastAsia="仿宋_GB2312"/>
          <w:sz w:val="32"/>
          <w:szCs w:val="32"/>
        </w:rPr>
        <w:t>/</w:t>
      </w:r>
      <w:r>
        <w:rPr>
          <w:rFonts w:eastAsia="仿宋_GB2312"/>
          <w:sz w:val="32"/>
          <w:szCs w:val="32"/>
        </w:rPr>
        <w:t>或血小板功能的药物联合使用时，应提高定期监测凝血参数的检测</w:t>
      </w:r>
      <w:r>
        <w:rPr>
          <w:rFonts w:eastAsia="仿宋_GB2312"/>
          <w:sz w:val="32"/>
          <w:szCs w:val="32"/>
        </w:rPr>
        <w:lastRenderedPageBreak/>
        <w:t>频率。</w:t>
      </w:r>
    </w:p>
    <w:p w:rsidR="006C0424" w:rsidRDefault="006C0424">
      <w:pPr>
        <w:overflowPunct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如果在手术期间或手术后立即使用本品，与非去极化型肌松药联合给药时，神经肌肉阻滞可能会加深或延长。这些相互作用可能会导致意外的、可能危及生命的事件。</w:t>
      </w:r>
    </w:p>
    <w:p w:rsidR="006C0424" w:rsidRDefault="006C0424">
      <w:pPr>
        <w:overflowPunct w:val="0"/>
        <w:spacing w:line="560" w:lineRule="exact"/>
        <w:ind w:firstLineChars="200" w:firstLine="640"/>
        <w:rPr>
          <w:rFonts w:eastAsia="仿宋_GB2312"/>
          <w:color w:val="FF0000"/>
          <w:sz w:val="32"/>
          <w:szCs w:val="32"/>
        </w:rPr>
      </w:pPr>
      <w:r>
        <w:rPr>
          <w:rFonts w:eastAsia="仿宋_GB2312"/>
          <w:sz w:val="32"/>
          <w:szCs w:val="32"/>
        </w:rPr>
        <w:t>6.</w:t>
      </w:r>
      <w:r>
        <w:rPr>
          <w:rFonts w:eastAsia="仿宋_GB2312"/>
          <w:sz w:val="32"/>
          <w:szCs w:val="32"/>
        </w:rPr>
        <w:t>同时使用甲氨蝶呤可能会导致甲氨蝶呤水平升高。必要时应监测血浆水平。可能需要减少甲氨蝶呤的剂量。</w:t>
      </w:r>
    </w:p>
    <w:p w:rsidR="006C0424" w:rsidRDefault="006C0424">
      <w:pPr>
        <w:overflowPunct w:val="0"/>
        <w:spacing w:line="560" w:lineRule="exact"/>
        <w:ind w:firstLineChars="200" w:firstLine="640"/>
        <w:rPr>
          <w:rFonts w:ascii="仿宋_GB2312" w:eastAsia="仿宋_GB2312" w:hAnsi="仿宋_GB2312" w:cs="仿宋_GB2312"/>
          <w:sz w:val="32"/>
          <w:szCs w:val="32"/>
        </w:rPr>
      </w:pPr>
      <w:r>
        <w:rPr>
          <w:rFonts w:eastAsia="仿宋_GB2312"/>
          <w:sz w:val="32"/>
          <w:szCs w:val="32"/>
        </w:rPr>
        <w:t>7.</w:t>
      </w:r>
      <w:r>
        <w:rPr>
          <w:rFonts w:eastAsia="仿宋_GB2312"/>
          <w:sz w:val="32"/>
          <w:szCs w:val="32"/>
        </w:rPr>
        <w:t>在使用本品期间，茚三酮样品、非酶尿糖反应、尿胆素检测以及尿蛋白测定可能出现假阳性。基于溴酚蓝反应的蛋白质测</w:t>
      </w:r>
      <w:r>
        <w:rPr>
          <w:rFonts w:ascii="仿宋_GB2312" w:eastAsia="仿宋_GB2312" w:hAnsi="仿宋_GB2312" w:cs="仿宋_GB2312" w:hint="eastAsia"/>
          <w:sz w:val="32"/>
          <w:szCs w:val="32"/>
        </w:rPr>
        <w:t>定不受影响。</w:t>
      </w:r>
    </w:p>
    <w:p w:rsidR="006C0424" w:rsidRDefault="006C0424">
      <w:pPr>
        <w:overflowPunct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五、【药物过量】项下应包含以下内容：</w:t>
      </w:r>
    </w:p>
    <w:p w:rsidR="006C0424" w:rsidRDefault="006C0424">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为防止过量用药引发的症状</w:t>
      </w:r>
      <w:r>
        <w:rPr>
          <w:rFonts w:ascii="仿宋_GB2312" w:eastAsia="仿宋_GB2312" w:hAnsi="仿宋_GB2312" w:cs="仿宋_GB2312"/>
          <w:sz w:val="32"/>
          <w:szCs w:val="32"/>
        </w:rPr>
        <w:t>,对于严重肾功能损伤或严重肝肾功能损伤的患者必须减少剂量。和使用其它青霉素一样,如果个别病例在极高的血药浓度之后出现神经毒性反应,美洛西林钠可通过血液透析消除。</w:t>
      </w:r>
    </w:p>
    <w:p w:rsidR="006C0424" w:rsidRDefault="006C0424">
      <w:pPr>
        <w:overflowPunct w:val="0"/>
        <w:spacing w:line="560" w:lineRule="exact"/>
        <w:ind w:firstLineChars="200" w:firstLine="640"/>
        <w:rPr>
          <w:rFonts w:ascii="仿宋_GB2312" w:eastAsia="仿宋_GB2312" w:hAnsi="仿宋_GB2312" w:cs="仿宋_GB2312"/>
          <w:sz w:val="32"/>
          <w:szCs w:val="32"/>
        </w:rPr>
      </w:pPr>
    </w:p>
    <w:p w:rsidR="006C0424" w:rsidRDefault="006C0424">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（注：如原批准说明书的安全性内容较本修订要求内容更全面或更严格的，应保留原批准内容。说明书其他内容如与上述修订要求不一致的，应当一并进行修订。）</w:t>
      </w:r>
    </w:p>
    <w:p w:rsidR="006C0424" w:rsidRDefault="006C0424">
      <w:pPr>
        <w:rPr>
          <w:rFonts w:ascii="仿宋_GB2312" w:eastAsia="仿宋_GB2312" w:hAnsi="华文仿宋"/>
          <w:sz w:val="32"/>
          <w:szCs w:val="32"/>
        </w:rPr>
      </w:pPr>
    </w:p>
    <w:p w:rsidR="006C0424" w:rsidRDefault="006C0424">
      <w:pPr>
        <w:rPr>
          <w:rFonts w:ascii="仿宋_GB2312" w:eastAsia="仿宋_GB2312" w:hAnsi="华文仿宋"/>
          <w:szCs w:val="21"/>
        </w:rPr>
      </w:pPr>
    </w:p>
    <w:p w:rsidR="006C0424" w:rsidRDefault="006C0424">
      <w:pPr>
        <w:rPr>
          <w:rFonts w:ascii="仿宋_GB2312" w:eastAsia="仿宋_GB2312" w:hAnsi="华文仿宋"/>
          <w:sz w:val="18"/>
          <w:szCs w:val="18"/>
        </w:rPr>
      </w:pPr>
    </w:p>
    <w:p w:rsidR="006C0424" w:rsidRDefault="006C0424">
      <w:pPr>
        <w:rPr>
          <w:rFonts w:hint="eastAsia"/>
        </w:rPr>
      </w:pPr>
      <w:bookmarkStart w:id="0" w:name="_GoBack"/>
      <w:bookmarkEnd w:id="0"/>
    </w:p>
    <w:sectPr w:rsidR="006C0424">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8C6" w:rsidRDefault="00BE78C6">
      <w:r>
        <w:separator/>
      </w:r>
    </w:p>
  </w:endnote>
  <w:endnote w:type="continuationSeparator" w:id="0">
    <w:p w:rsidR="00BE78C6" w:rsidRDefault="00BE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424" w:rsidRDefault="006C0424">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6C0424" w:rsidRDefault="006C04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424" w:rsidRDefault="00471C60">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424" w:rsidRDefault="006C0424">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8785C" w:rsidRPr="00D8785C">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" filled="f" stroked="f">
              <v:textbox style="mso-fit-shape-to-text:t" inset="0,0,0,0">
                <w:txbxContent>
                  <w:p w:rsidR="006C0424" w:rsidRDefault="006C0424">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8785C" w:rsidRPr="00D8785C">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8C6" w:rsidRDefault="00BE78C6">
      <w:r>
        <w:separator/>
      </w:r>
    </w:p>
  </w:footnote>
  <w:footnote w:type="continuationSeparator" w:id="0">
    <w:p w:rsidR="00BE78C6" w:rsidRDefault="00BE7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0E"/>
    <w:rsid w:val="9F7F90F8"/>
    <w:rsid w:val="FF47FA6E"/>
    <w:rsid w:val="00207E0E"/>
    <w:rsid w:val="00271F4F"/>
    <w:rsid w:val="00471C60"/>
    <w:rsid w:val="005C6B33"/>
    <w:rsid w:val="006C0424"/>
    <w:rsid w:val="00BE78C6"/>
    <w:rsid w:val="00D8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607D68-FDC2-49B0-913A-78921667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szCs w:val="18"/>
    </w:rPr>
  </w:style>
  <w:style w:type="character" w:styleId="a4">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dc:creator>
  <cp:keywords/>
  <cp:lastModifiedBy>pc</cp:lastModifiedBy>
  <cp:revision>4</cp:revision>
  <dcterms:created xsi:type="dcterms:W3CDTF">2024-10-09T03:27:00Z</dcterms:created>
  <dcterms:modified xsi:type="dcterms:W3CDTF">2024-10-09T04:50:00Z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153B9E79EAD81811BAEB05677C854C16</vt:lpwstr>
  </property>
</Properties>
</file>