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530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5" w:lineRule="atLeast"/>
        <w:ind w:left="0" w:right="0" w:firstLine="0"/>
        <w:jc w:val="center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9"/>
          <w:szCs w:val="39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9"/>
          <w:szCs w:val="39"/>
          <w:bdr w:val="none" w:color="auto" w:sz="0" w:space="0"/>
          <w:shd w:val="clear" w:fill="FFFFFF"/>
        </w:rPr>
        <w:t>《毒理学关注阈值（TTC）方法应用技术指南》问答</w:t>
      </w:r>
    </w:p>
    <w:p w14:paraId="6CD704F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2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一、TTC方法应用的基本条件是哪些？</w:t>
      </w:r>
    </w:p>
    <w:p w14:paraId="28AFD6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《化妆品安全评估技术导则（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2021年版）》（以下简称“导则”）和《毒理学关注阈值（TTC）方法应用技术指南》（以下简称“TTC指南”）规定：对于化学结构明确，且不包含严重致突变警告结构的原料或风险物质，含量较低且缺乏系统毒理学研究数据时，可参考使用毒理学关注阈值（TTC）方法进行评估。</w:t>
      </w:r>
    </w:p>
    <w:p w14:paraId="0EF237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使用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TTC方法应满足以下基本条件：化学结构明确，根据化学物结构可以进一步归类和判断是否有警示结构；含量较低，结合产品类型和经过暴露评估后，认为该化学物的人体暴露量较低，低于对应阈值；缺乏系统毒理学数据，经查询所有可获得的数据情况下，缺少该物质的系统毒性数据，如重复剂量毒性、生殖发育毒性和致癌性等。</w:t>
      </w:r>
    </w:p>
    <w:p w14:paraId="165EFD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2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二、如何确定待评估物质是否为</w:t>
      </w:r>
      <w:r>
        <w:rPr>
          <w:rStyle w:val="6"/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DNA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反应性致突变物</w:t>
      </w:r>
      <w:r>
        <w:rPr>
          <w:rStyle w:val="6"/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/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致癌物？</w:t>
      </w:r>
    </w:p>
    <w:p w14:paraId="04EE38D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除通过遗传毒性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/DNA反应性终点试验（如细菌回复突变试验）测试外，还可采用（定量）构效关系预测方法学进行预测。</w:t>
      </w:r>
    </w:p>
    <w:p w14:paraId="1F14BD7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在采用（定量）构效关系预测方法学进行预测时，应至少采用两种互补的国际公认的预测方法，一种方法应基于专家知识规则，另一种方法应基于统计学，这些预测方法均应遵循经济合作与发展组织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（OECD）制定的一般验证原则，可根据具体需要选择合适的方法组合。</w:t>
      </w:r>
    </w:p>
    <w:p w14:paraId="515289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可公开获取基于专家知识规则的预测方法有：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QSAR Toolbox（OECD）、Toxtree （欧盟联合研究中心JRC）、OncoLogic™（美国环境保护署EPA和OECD）等。可公开获取基于统计学的预测方法有： The US-EPA’sToxicity Estimation Software Tool (T.E.S.T.，EPA)、Lazar（德国联邦风险评估研究所BfR）等。有些预测方法可能包含多个子模型，如VEGA（意大利科学健康研究所IRCCS）致突变模型。此外，还有一些商业模型的预测方法也可以选择使用。</w:t>
      </w:r>
    </w:p>
    <w:p w14:paraId="5B7ADF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2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三、如何应用</w:t>
      </w:r>
      <w:r>
        <w:rPr>
          <w:rStyle w:val="6"/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TTC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方法对植物提取物进行评估？</w:t>
      </w:r>
    </w:p>
    <w:p w14:paraId="751CF8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植物提取物由于组分复杂且批次间存在变化，鉴定和分析技术上存在困难，因此在满足一定条件下，对原料中的部分未知成分可以使用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TTC方法进行评估。</w:t>
      </w:r>
    </w:p>
    <w:p w14:paraId="0BAA52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通过实验室检测或文献检索，收集植物的来源、制备过程、化学成分、特征性成分、理化特性、质量规格、杂质等信息，尽可能多的识别出单一或大类成分，尤其是主要化学成分和特征性成分等，组分含量可通过类别组分进行计算。除生产过程中添加的必要溶剂或稳定剂、防腐剂、抗氧化剂等外，需确定的成分含量不低于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50 %。</w:t>
      </w:r>
    </w:p>
    <w:p w14:paraId="43EC25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基于植物原料中各组分的含量、化学结构及安全信息，设计安全评估整体策略。</w:t>
      </w:r>
    </w:p>
    <w:p w14:paraId="0E22301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MmM1MGU2YTdmYTQ2YzBlZDQzNTM2YWY1MmJmYWYifQ=="/>
  </w:docVars>
  <w:rsids>
    <w:rsidRoot w:val="4A7A665C"/>
    <w:rsid w:val="4A7A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2024-11-18T01:00:00Z</dcterms:created>
  <dc:creator>ever grand</dc:creator>
  <cp:lastModifiedBy>ever grand</cp:lastModifiedBy>
  <dcterms:modified xsi:type="dcterms:W3CDTF">2024-11-18T01:00:12Z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C140350F74D3439C97F5419F16DF6E2A_11</vt:lpwstr>
  </property>
</Properties>
</file>