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570F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0"/>
        <w:jc w:val="center"/>
        <w:rPr>
          <w:rFonts w:ascii="微软雅黑" w:hAnsi="微软雅黑" w:eastAsia="微软雅黑" w:cs="微软雅黑"/>
          <w:b w:val="0"/>
          <w:bCs w:val="0"/>
          <w:i w:val="0"/>
          <w:iCs w:val="0"/>
          <w:caps w:val="0"/>
          <w:color w:val="333333"/>
          <w:spacing w:val="0"/>
          <w:sz w:val="39"/>
          <w:szCs w:val="39"/>
        </w:rPr>
      </w:pPr>
      <w:r>
        <w:rPr>
          <w:rFonts w:hint="eastAsia" w:ascii="微软雅黑" w:hAnsi="微软雅黑" w:eastAsia="微软雅黑" w:cs="微软雅黑"/>
          <w:b w:val="0"/>
          <w:bCs w:val="0"/>
          <w:i w:val="0"/>
          <w:iCs w:val="0"/>
          <w:caps w:val="0"/>
          <w:color w:val="333333"/>
          <w:spacing w:val="0"/>
          <w:sz w:val="39"/>
          <w:szCs w:val="39"/>
          <w:bdr w:val="none" w:color="auto" w:sz="0" w:space="0"/>
          <w:shd w:val="clear" w:fill="FFFFFF"/>
        </w:rPr>
        <w:t>《化妆品与包材相容性测试评估技术指南》问答</w:t>
      </w:r>
    </w:p>
    <w:p w14:paraId="0F20AA4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2"/>
        <w:jc w:val="both"/>
        <w:rPr>
          <w:rFonts w:ascii="微软雅黑" w:hAnsi="微软雅黑" w:eastAsia="微软雅黑" w:cs="微软雅黑"/>
          <w:i w:val="0"/>
          <w:iCs w:val="0"/>
          <w:caps w:val="0"/>
          <w:color w:val="000000"/>
          <w:spacing w:val="0"/>
          <w:sz w:val="24"/>
          <w:szCs w:val="24"/>
        </w:rPr>
      </w:pPr>
      <w:r>
        <w:rPr>
          <w:rStyle w:val="6"/>
          <w:rFonts w:ascii="宋体" w:hAnsi="宋体" w:eastAsia="宋体" w:cs="宋体"/>
          <w:i w:val="0"/>
          <w:iCs w:val="0"/>
          <w:caps w:val="0"/>
          <w:color w:val="000000"/>
          <w:spacing w:val="0"/>
          <w:sz w:val="24"/>
          <w:szCs w:val="24"/>
          <w:bdr w:val="none" w:color="auto" w:sz="0" w:space="0"/>
          <w:shd w:val="clear" w:fill="FFFFFF"/>
        </w:rPr>
        <w:t>一、制定《化妆品与包材相容性测试评估技术指南》（以下简称《相容性技术指南》）的目的和意义是什么？</w:t>
      </w:r>
    </w:p>
    <w:p w14:paraId="1171281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jc w:val="both"/>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化妆品与其包材相容性试验是为考察化妆品与包材相互作用而开展的技术研究。由于包材的材质众多、形状各异以及被包装化妆品种类繁多，基于风险管理的原则，在参考药品和食品相关标准的基础上，结合化妆品行业现状制定《相容性技术指南》，化妆品注册人、备案人在对产品包材评估后，可参考本指南开展相容性测试，从而加强化妆品的监督管理，进一步提高化妆品使用安全性，指导行业关注化妆品中源于包装材料的潜在风险。</w:t>
      </w:r>
    </w:p>
    <w:p w14:paraId="46B006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2"/>
        <w:jc w:val="both"/>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二、化妆品注册人、备案人应如何开展化妆品与包材的相容性评估？</w:t>
      </w:r>
    </w:p>
    <w:p w14:paraId="74FB06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jc w:val="both"/>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为化妆品选择包材时，化妆品注册人、备案人可根据化妆品的成分、风险等级等实际情况对化妆品与包材的相容性进行评估，包括但不限于选择合适的模拟液对包材开展的浸出物研究报告，化妆品产品历史安全性数据或报告，根据食品、药品或自建的方法对化妆品的包材已开展的相容性研究报告，基于供应商提供的数据或声明或质量控制报告，以及化妆品稳定性实验结果综合评估化妆品安全性报告等。化妆品注册人、备案人可以采用其中一种方法或多种方式，评估化妆品与包材的相容性。</w:t>
      </w:r>
    </w:p>
    <w:p w14:paraId="5F8CC15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jc w:val="both"/>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若化妆品注册人、备案人无法提供上述安全性评估资料或发现化妆品与其包材发生相互作用并对化妆品质量、安全产生影响时，应参考《相容性技术指南》开展相关研究。</w:t>
      </w:r>
    </w:p>
    <w:p w14:paraId="03F55D3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2"/>
        <w:jc w:val="both"/>
        <w:rPr>
          <w:rFonts w:hint="eastAsia" w:ascii="微软雅黑" w:hAnsi="微软雅黑" w:eastAsia="微软雅黑" w:cs="微软雅黑"/>
          <w:i w:val="0"/>
          <w:iCs w:val="0"/>
          <w:caps w:val="0"/>
          <w:color w:val="000000"/>
          <w:spacing w:val="0"/>
          <w:sz w:val="24"/>
          <w:szCs w:val="24"/>
        </w:rPr>
      </w:pPr>
      <w:r>
        <w:rPr>
          <w:rStyle w:val="6"/>
          <w:rFonts w:hint="eastAsia" w:ascii="宋体" w:hAnsi="宋体" w:eastAsia="宋体" w:cs="宋体"/>
          <w:i w:val="0"/>
          <w:iCs w:val="0"/>
          <w:caps w:val="0"/>
          <w:color w:val="000000"/>
          <w:spacing w:val="0"/>
          <w:sz w:val="24"/>
          <w:szCs w:val="24"/>
          <w:bdr w:val="none" w:color="auto" w:sz="0" w:space="0"/>
          <w:shd w:val="clear" w:fill="FFFFFF"/>
        </w:rPr>
        <w:t>三、化妆品注册人、备案人开展相容性研究时，对于配方体系近似的化妆品是否仍需要“一品一研究”？</w:t>
      </w:r>
    </w:p>
    <w:p w14:paraId="1A1845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spacing w:before="0" w:beforeAutospacing="0" w:after="0" w:afterAutospacing="0" w:line="525" w:lineRule="atLeast"/>
        <w:ind w:left="0" w:right="0" w:firstLine="480"/>
        <w:jc w:val="both"/>
        <w:rPr>
          <w:rFonts w:hint="eastAsia" w:ascii="微软雅黑" w:hAnsi="微软雅黑" w:eastAsia="微软雅黑" w:cs="微软雅黑"/>
          <w:i w:val="0"/>
          <w:iCs w:val="0"/>
          <w:caps w:val="0"/>
          <w:color w:val="000000"/>
          <w:spacing w:val="0"/>
          <w:sz w:val="24"/>
          <w:szCs w:val="24"/>
        </w:rPr>
      </w:pPr>
      <w:r>
        <w:rPr>
          <w:rFonts w:ascii="宋体" w:hAnsi="宋体" w:eastAsia="宋体" w:cs="宋体"/>
          <w:i w:val="0"/>
          <w:iCs w:val="0"/>
          <w:caps w:val="0"/>
          <w:color w:val="000000"/>
          <w:spacing w:val="0"/>
          <w:sz w:val="24"/>
          <w:szCs w:val="24"/>
          <w:bdr w:val="none" w:color="auto" w:sz="0" w:space="0"/>
          <w:shd w:val="clear" w:fill="FFFFFF"/>
        </w:rPr>
        <w:t>对化妆品配方体系近似、与内容物直接接触的容器或载体包装材质相同且来源一致时，化妆品注册人、备案人可根据已有的资料和实验数据对相容性开展评估工作，但需阐明理由，说明情况。</w:t>
      </w:r>
    </w:p>
    <w:p w14:paraId="66BD4E9B">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mMmM1MGU2YTdmYTQ2YzBlZDQzNTM2YWY1MmJmYWYifQ=="/>
  </w:docVars>
  <w:rsids>
    <w:rsidRoot w:val="5B734A81"/>
    <w:rsid w:val="5B734A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2024-11-18T00:56:00Z</dcterms:created>
  <dc:creator>ever grand</dc:creator>
  <cp:lastModifiedBy>ever grand</cp:lastModifiedBy>
  <dcterms:modified xsi:type="dcterms:W3CDTF">2024-11-18T00:56:59Z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F8A0D923063E48C3A953A21F615D5E5D_11</vt:lpwstr>
  </property>
</Properties>
</file>