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7690" w:rsidRDefault="009F7690" w:rsidP="009F7690">
      <w:pPr>
        <w:spacing w:line="540" w:lineRule="exact"/>
        <w:rPr>
          <w:rFonts w:ascii="黑体" w:eastAsia="黑体" w:hAnsi="黑体" w:cs="黑体"/>
          <w:color w:val="0000FF"/>
          <w:sz w:val="32"/>
          <w:szCs w:val="32"/>
        </w:rPr>
      </w:pPr>
      <w:r>
        <w:rPr>
          <w:rFonts w:ascii="黑体" w:eastAsia="黑体" w:hAnsi="黑体" w:cs="黑体" w:hint="eastAsia"/>
          <w:sz w:val="32"/>
          <w:szCs w:val="32"/>
        </w:rPr>
        <w:t>附件2</w:t>
      </w:r>
    </w:p>
    <w:p w:rsidR="009F7690" w:rsidRDefault="009F7690" w:rsidP="009F7690">
      <w:pPr>
        <w:pStyle w:val="2"/>
        <w:spacing w:beforeLines="100" w:before="312" w:afterLines="100" w:after="312" w:line="640" w:lineRule="exact"/>
        <w:jc w:val="center"/>
        <w:rPr>
          <w:rFonts w:ascii="Times New Roman" w:eastAsia="方正小标宋简体" w:hAnsi="Times New Roman" w:cs="Times New Roman"/>
          <w:b w:val="0"/>
          <w:color w:val="000000"/>
          <w:sz w:val="44"/>
          <w:szCs w:val="48"/>
        </w:rPr>
      </w:pPr>
      <w:r>
        <w:rPr>
          <w:rFonts w:ascii="Times New Roman" w:eastAsia="方正小标宋简体" w:hAnsi="Times New Roman" w:cs="Times New Roman"/>
          <w:b w:val="0"/>
          <w:color w:val="000000"/>
          <w:sz w:val="44"/>
          <w:szCs w:val="48"/>
        </w:rPr>
        <w:t>酮洛芬贴片说明书</w:t>
      </w:r>
    </w:p>
    <w:p w:rsidR="009F7690" w:rsidRDefault="009F7690" w:rsidP="009F7690">
      <w:pPr>
        <w:spacing w:line="400" w:lineRule="exact"/>
        <w:jc w:val="center"/>
        <w:rPr>
          <w:b/>
          <w:szCs w:val="21"/>
        </w:rPr>
      </w:pPr>
      <w:r>
        <w:rPr>
          <w:b/>
          <w:szCs w:val="21"/>
        </w:rPr>
        <w:t>请仔细阅读说明书并按说明使用或在药师指导下购买和使用</w:t>
      </w:r>
    </w:p>
    <w:p w:rsidR="009F7690" w:rsidRDefault="009F7690" w:rsidP="009F7690">
      <w:pPr>
        <w:spacing w:line="400" w:lineRule="exact"/>
        <w:rPr>
          <w:bCs/>
          <w:szCs w:val="21"/>
        </w:rPr>
      </w:pPr>
      <w:r>
        <w:rPr>
          <w:bCs/>
          <w:szCs w:val="21"/>
        </w:rPr>
        <w:t>[</w:t>
      </w:r>
      <w:r>
        <w:rPr>
          <w:bCs/>
          <w:szCs w:val="21"/>
        </w:rPr>
        <w:t>药品名称</w:t>
      </w:r>
      <w:r>
        <w:rPr>
          <w:bCs/>
          <w:szCs w:val="21"/>
        </w:rPr>
        <w:t>]</w:t>
      </w:r>
    </w:p>
    <w:p w:rsidR="009F7690" w:rsidRDefault="009F7690" w:rsidP="009F7690">
      <w:pPr>
        <w:spacing w:line="400" w:lineRule="exact"/>
        <w:rPr>
          <w:szCs w:val="21"/>
        </w:rPr>
      </w:pPr>
      <w:r>
        <w:rPr>
          <w:bCs/>
          <w:szCs w:val="21"/>
        </w:rPr>
        <w:t>通用名称</w:t>
      </w:r>
      <w:r>
        <w:rPr>
          <w:szCs w:val="21"/>
        </w:rPr>
        <w:t>：酮洛芬贴片</w:t>
      </w:r>
    </w:p>
    <w:p w:rsidR="009F7690" w:rsidRDefault="009F7690" w:rsidP="009F7690">
      <w:pPr>
        <w:spacing w:line="400" w:lineRule="exact"/>
        <w:rPr>
          <w:szCs w:val="21"/>
        </w:rPr>
      </w:pPr>
      <w:r>
        <w:rPr>
          <w:szCs w:val="21"/>
        </w:rPr>
        <w:t>商品名称：</w:t>
      </w:r>
      <w:r>
        <w:rPr>
          <w:szCs w:val="21"/>
        </w:rPr>
        <w:t xml:space="preserve"> </w:t>
      </w:r>
    </w:p>
    <w:p w:rsidR="009F7690" w:rsidRDefault="009F7690" w:rsidP="009F7690">
      <w:pPr>
        <w:spacing w:line="400" w:lineRule="exact"/>
        <w:rPr>
          <w:szCs w:val="21"/>
        </w:rPr>
      </w:pPr>
      <w:r>
        <w:rPr>
          <w:szCs w:val="21"/>
        </w:rPr>
        <w:t>英文名称：</w:t>
      </w:r>
    </w:p>
    <w:p w:rsidR="009F7690" w:rsidRDefault="009F7690" w:rsidP="009F7690">
      <w:pPr>
        <w:spacing w:line="400" w:lineRule="exact"/>
        <w:rPr>
          <w:szCs w:val="21"/>
        </w:rPr>
      </w:pPr>
      <w:r>
        <w:rPr>
          <w:szCs w:val="21"/>
        </w:rPr>
        <w:t>汉语拼音：</w:t>
      </w:r>
    </w:p>
    <w:p w:rsidR="009F7690" w:rsidRDefault="009F7690" w:rsidP="009F7690">
      <w:pPr>
        <w:spacing w:line="400" w:lineRule="exact"/>
        <w:rPr>
          <w:bCs/>
          <w:szCs w:val="21"/>
        </w:rPr>
      </w:pPr>
      <w:r>
        <w:rPr>
          <w:bCs/>
          <w:szCs w:val="21"/>
        </w:rPr>
        <w:t>[</w:t>
      </w:r>
      <w:r>
        <w:rPr>
          <w:bCs/>
          <w:szCs w:val="21"/>
        </w:rPr>
        <w:t>成份</w:t>
      </w:r>
      <w:r>
        <w:rPr>
          <w:bCs/>
          <w:szCs w:val="21"/>
        </w:rPr>
        <w:t>]</w:t>
      </w:r>
    </w:p>
    <w:p w:rsidR="009F7690" w:rsidRDefault="009F7690" w:rsidP="009F7690">
      <w:pPr>
        <w:spacing w:line="400" w:lineRule="exact"/>
        <w:rPr>
          <w:bCs/>
          <w:szCs w:val="21"/>
        </w:rPr>
      </w:pPr>
      <w:r>
        <w:rPr>
          <w:bCs/>
          <w:szCs w:val="21"/>
        </w:rPr>
        <w:t>[</w:t>
      </w:r>
      <w:r>
        <w:rPr>
          <w:bCs/>
          <w:szCs w:val="21"/>
        </w:rPr>
        <w:t>性状</w:t>
      </w:r>
      <w:r>
        <w:rPr>
          <w:bCs/>
          <w:szCs w:val="21"/>
        </w:rPr>
        <w:t>]</w:t>
      </w:r>
    </w:p>
    <w:p w:rsidR="009F7690" w:rsidRDefault="009F7690" w:rsidP="009F7690">
      <w:pPr>
        <w:spacing w:line="400" w:lineRule="exact"/>
        <w:rPr>
          <w:szCs w:val="22"/>
        </w:rPr>
      </w:pPr>
      <w:r>
        <w:rPr>
          <w:bCs/>
          <w:szCs w:val="21"/>
        </w:rPr>
        <w:t>[</w:t>
      </w:r>
      <w:r>
        <w:rPr>
          <w:bCs/>
          <w:szCs w:val="21"/>
        </w:rPr>
        <w:t>作用类别</w:t>
      </w:r>
      <w:r>
        <w:rPr>
          <w:bCs/>
          <w:szCs w:val="21"/>
        </w:rPr>
        <w:t>]</w:t>
      </w:r>
      <w:r>
        <w:rPr>
          <w:bCs/>
          <w:szCs w:val="21"/>
        </w:rPr>
        <w:t>本品为镇痛类非处方药药品。</w:t>
      </w:r>
    </w:p>
    <w:p w:rsidR="009F7690" w:rsidRDefault="009F7690" w:rsidP="009F7690">
      <w:pPr>
        <w:spacing w:line="400" w:lineRule="exact"/>
        <w:rPr>
          <w:bCs/>
          <w:szCs w:val="21"/>
        </w:rPr>
      </w:pPr>
      <w:r>
        <w:rPr>
          <w:bCs/>
          <w:szCs w:val="21"/>
        </w:rPr>
        <w:t>[</w:t>
      </w:r>
      <w:r>
        <w:rPr>
          <w:bCs/>
          <w:szCs w:val="21"/>
        </w:rPr>
        <w:t>适应症</w:t>
      </w:r>
      <w:r>
        <w:rPr>
          <w:bCs/>
          <w:szCs w:val="21"/>
        </w:rPr>
        <w:t>]</w:t>
      </w:r>
      <w:r>
        <w:rPr>
          <w:bCs/>
          <w:szCs w:val="21"/>
        </w:rPr>
        <w:t>主要用于骨关节炎的症状缓解。</w:t>
      </w:r>
    </w:p>
    <w:p w:rsidR="009F7690" w:rsidRDefault="009F7690" w:rsidP="009F7690">
      <w:pPr>
        <w:spacing w:line="400" w:lineRule="exact"/>
        <w:rPr>
          <w:bCs/>
          <w:szCs w:val="21"/>
        </w:rPr>
      </w:pPr>
      <w:r>
        <w:rPr>
          <w:bCs/>
          <w:szCs w:val="21"/>
        </w:rPr>
        <w:t>[</w:t>
      </w:r>
      <w:r>
        <w:rPr>
          <w:bCs/>
          <w:szCs w:val="21"/>
        </w:rPr>
        <w:t>规格</w:t>
      </w:r>
      <w:r>
        <w:rPr>
          <w:bCs/>
          <w:szCs w:val="21"/>
        </w:rPr>
        <w:t>]</w:t>
      </w:r>
      <w:r>
        <w:rPr>
          <w:bCs/>
          <w:szCs w:val="21"/>
        </w:rPr>
        <w:t>每片</w:t>
      </w:r>
      <w:r>
        <w:rPr>
          <w:bCs/>
          <w:szCs w:val="21"/>
        </w:rPr>
        <w:t>7</w:t>
      </w:r>
      <w:r>
        <w:rPr>
          <w:bCs/>
          <w:szCs w:val="21"/>
        </w:rPr>
        <w:t>厘米</w:t>
      </w:r>
      <w:r>
        <w:rPr>
          <w:bCs/>
          <w:szCs w:val="21"/>
        </w:rPr>
        <w:t>×10</w:t>
      </w:r>
      <w:r>
        <w:rPr>
          <w:bCs/>
          <w:szCs w:val="21"/>
        </w:rPr>
        <w:t>厘米</w:t>
      </w:r>
      <w:r>
        <w:rPr>
          <w:bCs/>
          <w:szCs w:val="21"/>
        </w:rPr>
        <w:t>,</w:t>
      </w:r>
      <w:r>
        <w:rPr>
          <w:bCs/>
          <w:szCs w:val="21"/>
        </w:rPr>
        <w:t>含酮洛芬</w:t>
      </w:r>
      <w:r>
        <w:rPr>
          <w:bCs/>
          <w:szCs w:val="21"/>
        </w:rPr>
        <w:t>20</w:t>
      </w:r>
      <w:r>
        <w:rPr>
          <w:bCs/>
          <w:szCs w:val="21"/>
        </w:rPr>
        <w:t>毫克</w:t>
      </w:r>
    </w:p>
    <w:p w:rsidR="009F7690" w:rsidRDefault="009F7690" w:rsidP="009F7690">
      <w:pPr>
        <w:spacing w:line="400" w:lineRule="exact"/>
        <w:rPr>
          <w:bCs/>
          <w:szCs w:val="21"/>
        </w:rPr>
      </w:pPr>
      <w:r>
        <w:rPr>
          <w:bCs/>
          <w:szCs w:val="21"/>
        </w:rPr>
        <w:t>[</w:t>
      </w:r>
      <w:r>
        <w:rPr>
          <w:bCs/>
          <w:szCs w:val="21"/>
        </w:rPr>
        <w:t>用法用量</w:t>
      </w:r>
      <w:r>
        <w:rPr>
          <w:bCs/>
          <w:szCs w:val="21"/>
        </w:rPr>
        <w:t>]</w:t>
      </w:r>
      <w:r>
        <w:rPr>
          <w:bCs/>
          <w:szCs w:val="21"/>
        </w:rPr>
        <w:t>局部外用，除去防粘纸，贴敷于患处。一日一次，每日用量不超过</w:t>
      </w:r>
      <w:r>
        <w:rPr>
          <w:bCs/>
          <w:szCs w:val="21"/>
        </w:rPr>
        <w:t>8</w:t>
      </w:r>
      <w:r>
        <w:rPr>
          <w:bCs/>
          <w:szCs w:val="21"/>
        </w:rPr>
        <w:t>贴。</w:t>
      </w:r>
    </w:p>
    <w:p w:rsidR="009F7690" w:rsidRDefault="009F7690" w:rsidP="009F7690">
      <w:pPr>
        <w:spacing w:line="400" w:lineRule="exact"/>
        <w:rPr>
          <w:bCs/>
          <w:szCs w:val="21"/>
        </w:rPr>
      </w:pPr>
      <w:r>
        <w:rPr>
          <w:bCs/>
          <w:szCs w:val="21"/>
        </w:rPr>
        <w:t>[</w:t>
      </w:r>
      <w:r>
        <w:rPr>
          <w:bCs/>
          <w:szCs w:val="21"/>
        </w:rPr>
        <w:t>不良反应</w:t>
      </w:r>
      <w:r>
        <w:rPr>
          <w:bCs/>
          <w:szCs w:val="21"/>
        </w:rPr>
        <w:t>]</w:t>
      </w:r>
    </w:p>
    <w:p w:rsidR="009F7690" w:rsidRDefault="009F7690" w:rsidP="009F7690">
      <w:pPr>
        <w:pStyle w:val="a5"/>
        <w:spacing w:line="400" w:lineRule="exact"/>
        <w:ind w:firstLineChars="0" w:firstLine="0"/>
        <w:jc w:val="left"/>
        <w:rPr>
          <w:szCs w:val="21"/>
        </w:rPr>
      </w:pPr>
      <w:r>
        <w:rPr>
          <w:szCs w:val="21"/>
        </w:rPr>
        <w:t xml:space="preserve">1. </w:t>
      </w:r>
      <w:r>
        <w:rPr>
          <w:szCs w:val="21"/>
        </w:rPr>
        <w:t>偶有用药部位发生散在皮疹、皮肤潮红、瘙痒等不良反应，大剂量应用时，可能出现胃部刺激症状。文献中有老年人长期大量使用出现溃疡性肠出血的个案报道。</w:t>
      </w:r>
    </w:p>
    <w:p w:rsidR="009F7690" w:rsidRDefault="009F7690" w:rsidP="009F7690">
      <w:pPr>
        <w:pStyle w:val="a5"/>
        <w:spacing w:line="400" w:lineRule="exact"/>
        <w:ind w:firstLineChars="0" w:firstLine="0"/>
        <w:jc w:val="left"/>
        <w:rPr>
          <w:szCs w:val="21"/>
        </w:rPr>
      </w:pPr>
      <w:r>
        <w:rPr>
          <w:szCs w:val="21"/>
        </w:rPr>
        <w:t xml:space="preserve">2. </w:t>
      </w:r>
      <w:r>
        <w:rPr>
          <w:szCs w:val="21"/>
        </w:rPr>
        <w:t>与酮洛芬贴片活性成份和用药途径相同的酮洛芬凝胶主要不良反应表现：偶尔出现接触性皮炎（如皮肤发红、皮疹、瘙痒、水疱、糜烂、刺激感、肿胀等）、皮肤干燥及色素沉着。直射光（紫外线）照射后可出现光过敏反应，皮疹可扩散到全身。偶尔出现过敏性反应（如荨麻疹、呼吸困难、颜面浮肿等）。</w:t>
      </w:r>
      <w:r>
        <w:rPr>
          <w:szCs w:val="21"/>
        </w:rPr>
        <w:t xml:space="preserve">  </w:t>
      </w:r>
    </w:p>
    <w:p w:rsidR="009F7690" w:rsidRDefault="009F7690" w:rsidP="009F7690">
      <w:pPr>
        <w:spacing w:line="400" w:lineRule="exact"/>
        <w:rPr>
          <w:b/>
          <w:bCs/>
          <w:szCs w:val="21"/>
        </w:rPr>
      </w:pPr>
      <w:r>
        <w:rPr>
          <w:b/>
          <w:bCs/>
          <w:szCs w:val="21"/>
        </w:rPr>
        <w:t>[</w:t>
      </w:r>
      <w:r>
        <w:rPr>
          <w:b/>
          <w:bCs/>
          <w:szCs w:val="21"/>
        </w:rPr>
        <w:t>禁忌</w:t>
      </w:r>
      <w:r>
        <w:rPr>
          <w:b/>
          <w:bCs/>
          <w:szCs w:val="21"/>
        </w:rPr>
        <w:t>]</w:t>
      </w:r>
    </w:p>
    <w:p w:rsidR="009F7690" w:rsidRDefault="009F7690" w:rsidP="009F7690">
      <w:pPr>
        <w:spacing w:line="400" w:lineRule="exact"/>
        <w:rPr>
          <w:b/>
          <w:szCs w:val="21"/>
        </w:rPr>
      </w:pPr>
      <w:r>
        <w:rPr>
          <w:b/>
          <w:szCs w:val="21"/>
        </w:rPr>
        <w:t>1.</w:t>
      </w:r>
      <w:r>
        <w:rPr>
          <w:b/>
          <w:szCs w:val="21"/>
        </w:rPr>
        <w:t>对本制剂中的药物成分有既往过敏史者禁用。</w:t>
      </w:r>
    </w:p>
    <w:p w:rsidR="009F7690" w:rsidRDefault="009F7690" w:rsidP="009F7690">
      <w:pPr>
        <w:spacing w:line="400" w:lineRule="exact"/>
        <w:rPr>
          <w:b/>
          <w:szCs w:val="21"/>
        </w:rPr>
      </w:pPr>
      <w:r>
        <w:rPr>
          <w:b/>
          <w:szCs w:val="21"/>
        </w:rPr>
        <w:t>2.</w:t>
      </w:r>
      <w:r>
        <w:rPr>
          <w:b/>
          <w:szCs w:val="21"/>
        </w:rPr>
        <w:t>对其他非甾体抗炎药过敏者禁用。</w:t>
      </w:r>
    </w:p>
    <w:p w:rsidR="009F7690" w:rsidRDefault="009F7690" w:rsidP="009F7690">
      <w:pPr>
        <w:spacing w:line="400" w:lineRule="exact"/>
        <w:rPr>
          <w:b/>
          <w:szCs w:val="21"/>
        </w:rPr>
      </w:pPr>
      <w:r>
        <w:rPr>
          <w:b/>
          <w:szCs w:val="21"/>
        </w:rPr>
        <w:t>3.</w:t>
      </w:r>
      <w:r>
        <w:rPr>
          <w:b/>
          <w:szCs w:val="21"/>
        </w:rPr>
        <w:t>对使用阿司匹林或其它前列腺素合成酶抑制剂引起哮喘、荨麻疹或急性鼻炎的患者禁用。</w:t>
      </w:r>
    </w:p>
    <w:p w:rsidR="009F7690" w:rsidRDefault="009F7690" w:rsidP="009F7690">
      <w:pPr>
        <w:spacing w:line="400" w:lineRule="exact"/>
        <w:rPr>
          <w:b/>
          <w:szCs w:val="21"/>
        </w:rPr>
      </w:pPr>
      <w:r>
        <w:rPr>
          <w:b/>
          <w:szCs w:val="21"/>
        </w:rPr>
        <w:t>4.</w:t>
      </w:r>
      <w:r>
        <w:rPr>
          <w:b/>
          <w:szCs w:val="21"/>
        </w:rPr>
        <w:t>破损皮肤或患处有化脓性感染者禁用。</w:t>
      </w:r>
    </w:p>
    <w:p w:rsidR="009F7690" w:rsidRDefault="009F7690" w:rsidP="009F7690">
      <w:pPr>
        <w:spacing w:line="400" w:lineRule="exact"/>
        <w:rPr>
          <w:b/>
          <w:szCs w:val="21"/>
        </w:rPr>
      </w:pPr>
      <w:r>
        <w:rPr>
          <w:b/>
          <w:szCs w:val="21"/>
        </w:rPr>
        <w:t>5.</w:t>
      </w:r>
      <w:r>
        <w:rPr>
          <w:b/>
          <w:szCs w:val="21"/>
        </w:rPr>
        <w:t>眼的黏膜处禁用。</w:t>
      </w:r>
    </w:p>
    <w:p w:rsidR="009F7690" w:rsidRDefault="009F7690" w:rsidP="009F7690">
      <w:pPr>
        <w:spacing w:line="400" w:lineRule="exact"/>
        <w:rPr>
          <w:b/>
          <w:szCs w:val="21"/>
        </w:rPr>
      </w:pPr>
      <w:r>
        <w:rPr>
          <w:b/>
          <w:szCs w:val="21"/>
        </w:rPr>
        <w:t>6.</w:t>
      </w:r>
      <w:r>
        <w:rPr>
          <w:b/>
          <w:szCs w:val="21"/>
        </w:rPr>
        <w:t>胃、十二指肠溃疡出血患者禁用。</w:t>
      </w:r>
    </w:p>
    <w:p w:rsidR="009F7690" w:rsidRDefault="009F7690" w:rsidP="009F7690">
      <w:pPr>
        <w:spacing w:line="400" w:lineRule="exact"/>
        <w:rPr>
          <w:b/>
          <w:szCs w:val="21"/>
        </w:rPr>
      </w:pPr>
      <w:r>
        <w:rPr>
          <w:b/>
          <w:szCs w:val="21"/>
        </w:rPr>
        <w:t>7.</w:t>
      </w:r>
      <w:r>
        <w:rPr>
          <w:b/>
          <w:szCs w:val="21"/>
        </w:rPr>
        <w:t>有光敏反应史者（暴露于阳光下后出现皮肤反应）禁用。</w:t>
      </w:r>
    </w:p>
    <w:p w:rsidR="009F7690" w:rsidRDefault="009F7690" w:rsidP="009F7690">
      <w:pPr>
        <w:spacing w:line="400" w:lineRule="exact"/>
        <w:rPr>
          <w:b/>
          <w:szCs w:val="21"/>
        </w:rPr>
      </w:pPr>
      <w:r>
        <w:rPr>
          <w:b/>
          <w:szCs w:val="21"/>
        </w:rPr>
        <w:t>8.</w:t>
      </w:r>
      <w:r>
        <w:rPr>
          <w:b/>
          <w:szCs w:val="21"/>
        </w:rPr>
        <w:t>有紫外线防晒剂或者香氛过敏史者禁用。</w:t>
      </w:r>
    </w:p>
    <w:p w:rsidR="009F7690" w:rsidRDefault="009F7690" w:rsidP="009F7690">
      <w:pPr>
        <w:spacing w:line="400" w:lineRule="exact"/>
        <w:rPr>
          <w:b/>
          <w:szCs w:val="21"/>
        </w:rPr>
      </w:pPr>
      <w:r>
        <w:rPr>
          <w:b/>
          <w:szCs w:val="21"/>
        </w:rPr>
        <w:t>[</w:t>
      </w:r>
      <w:r>
        <w:rPr>
          <w:b/>
          <w:szCs w:val="21"/>
        </w:rPr>
        <w:t>注意事项</w:t>
      </w:r>
      <w:r>
        <w:rPr>
          <w:b/>
          <w:szCs w:val="21"/>
        </w:rPr>
        <w:t xml:space="preserve">] </w:t>
      </w:r>
    </w:p>
    <w:p w:rsidR="009F7690" w:rsidRDefault="009F7690" w:rsidP="009F7690">
      <w:pPr>
        <w:spacing w:line="400" w:lineRule="exact"/>
        <w:rPr>
          <w:b/>
          <w:bCs/>
          <w:szCs w:val="21"/>
        </w:rPr>
      </w:pPr>
      <w:r>
        <w:rPr>
          <w:b/>
          <w:bCs/>
          <w:szCs w:val="21"/>
        </w:rPr>
        <w:t>1.</w:t>
      </w:r>
      <w:r>
        <w:rPr>
          <w:b/>
          <w:bCs/>
          <w:szCs w:val="21"/>
        </w:rPr>
        <w:t>避免接触眼睛和其他黏膜（如口、鼻等）。</w:t>
      </w:r>
    </w:p>
    <w:p w:rsidR="009F7690" w:rsidRDefault="009F7690" w:rsidP="009F7690">
      <w:pPr>
        <w:spacing w:line="400" w:lineRule="exact"/>
        <w:rPr>
          <w:b/>
          <w:bCs/>
          <w:szCs w:val="21"/>
        </w:rPr>
      </w:pPr>
      <w:r>
        <w:rPr>
          <w:b/>
          <w:bCs/>
          <w:szCs w:val="21"/>
        </w:rPr>
        <w:lastRenderedPageBreak/>
        <w:t>2.</w:t>
      </w:r>
      <w:r>
        <w:rPr>
          <w:b/>
          <w:bCs/>
          <w:szCs w:val="21"/>
        </w:rPr>
        <w:t>不得用于皮肤破损处及感染性创口。</w:t>
      </w:r>
    </w:p>
    <w:p w:rsidR="009F7690" w:rsidRDefault="009F7690" w:rsidP="009F7690">
      <w:pPr>
        <w:spacing w:line="400" w:lineRule="exact"/>
        <w:rPr>
          <w:b/>
          <w:bCs/>
          <w:szCs w:val="21"/>
          <w:highlight w:val="yellow"/>
        </w:rPr>
      </w:pPr>
      <w:r>
        <w:rPr>
          <w:b/>
          <w:bCs/>
          <w:szCs w:val="21"/>
        </w:rPr>
        <w:t>3.</w:t>
      </w:r>
      <w:r>
        <w:rPr>
          <w:b/>
          <w:bCs/>
          <w:szCs w:val="21"/>
        </w:rPr>
        <w:t>孕妇及哺乳期妇女不宜使用。</w:t>
      </w:r>
    </w:p>
    <w:p w:rsidR="009F7690" w:rsidRDefault="009F7690" w:rsidP="009F7690">
      <w:pPr>
        <w:spacing w:line="400" w:lineRule="exact"/>
        <w:rPr>
          <w:b/>
          <w:bCs/>
          <w:szCs w:val="21"/>
        </w:rPr>
      </w:pPr>
      <w:r>
        <w:rPr>
          <w:b/>
          <w:bCs/>
          <w:szCs w:val="21"/>
        </w:rPr>
        <w:t>4.</w:t>
      </w:r>
      <w:r>
        <w:rPr>
          <w:b/>
          <w:bCs/>
          <w:szCs w:val="21"/>
        </w:rPr>
        <w:t>老人及小儿应慎用</w:t>
      </w:r>
      <w:r>
        <w:rPr>
          <w:b/>
          <w:bCs/>
          <w:szCs w:val="21"/>
        </w:rPr>
        <w:t>,</w:t>
      </w:r>
      <w:r>
        <w:rPr>
          <w:b/>
          <w:bCs/>
          <w:szCs w:val="21"/>
        </w:rPr>
        <w:t>如需使用，用药前应咨询医师并由医师指导。</w:t>
      </w:r>
    </w:p>
    <w:p w:rsidR="009F7690" w:rsidRDefault="009F7690" w:rsidP="009F7690">
      <w:pPr>
        <w:spacing w:line="400" w:lineRule="exact"/>
        <w:rPr>
          <w:b/>
          <w:bCs/>
          <w:szCs w:val="21"/>
        </w:rPr>
      </w:pPr>
      <w:r>
        <w:rPr>
          <w:b/>
          <w:bCs/>
          <w:szCs w:val="21"/>
        </w:rPr>
        <w:t>5.</w:t>
      </w:r>
      <w:r>
        <w:rPr>
          <w:b/>
          <w:bCs/>
          <w:szCs w:val="21"/>
        </w:rPr>
        <w:t>支气管哮喘患者慎用（可引起哮喘发作），用药后如出现干罗音、喘鸣、呼吸困难等初期症状时，应停药，及时去医院就诊。</w:t>
      </w:r>
    </w:p>
    <w:p w:rsidR="009F7690" w:rsidRDefault="009F7690" w:rsidP="009F7690">
      <w:pPr>
        <w:spacing w:line="400" w:lineRule="exact"/>
        <w:rPr>
          <w:b/>
          <w:bCs/>
          <w:szCs w:val="21"/>
          <w:highlight w:val="yellow"/>
        </w:rPr>
      </w:pPr>
      <w:r>
        <w:rPr>
          <w:b/>
          <w:bCs/>
          <w:szCs w:val="21"/>
        </w:rPr>
        <w:t>6.</w:t>
      </w:r>
      <w:r>
        <w:rPr>
          <w:b/>
          <w:bCs/>
          <w:szCs w:val="21"/>
        </w:rPr>
        <w:t>交叉过敏：对阿司匹林或其他非甾体抗炎药过敏者，本品可有交叉过敏反应。对阿司匹林过敏的哮喘患者，本品也可引起支气管痉挛。</w:t>
      </w:r>
    </w:p>
    <w:p w:rsidR="009F7690" w:rsidRDefault="009F7690" w:rsidP="009F7690">
      <w:pPr>
        <w:spacing w:line="400" w:lineRule="exact"/>
        <w:rPr>
          <w:b/>
          <w:bCs/>
          <w:szCs w:val="21"/>
        </w:rPr>
      </w:pPr>
      <w:r>
        <w:rPr>
          <w:b/>
          <w:bCs/>
          <w:szCs w:val="21"/>
        </w:rPr>
        <w:t>7.</w:t>
      </w:r>
      <w:r>
        <w:rPr>
          <w:b/>
          <w:bCs/>
          <w:szCs w:val="21"/>
        </w:rPr>
        <w:t>胃及十二指肠溃疡患者慎用。</w:t>
      </w:r>
    </w:p>
    <w:p w:rsidR="009F7690" w:rsidRDefault="009F7690" w:rsidP="009F7690">
      <w:pPr>
        <w:spacing w:line="400" w:lineRule="exact"/>
        <w:rPr>
          <w:b/>
          <w:bCs/>
          <w:szCs w:val="21"/>
        </w:rPr>
      </w:pPr>
      <w:r>
        <w:rPr>
          <w:b/>
          <w:bCs/>
          <w:szCs w:val="21"/>
        </w:rPr>
        <w:t>8.</w:t>
      </w:r>
      <w:r>
        <w:rPr>
          <w:b/>
          <w:bCs/>
          <w:szCs w:val="21"/>
        </w:rPr>
        <w:t>心脏、肾脏或肝脏功能受损的患者应慎用本品。</w:t>
      </w:r>
    </w:p>
    <w:p w:rsidR="009F7690" w:rsidRDefault="009F7690" w:rsidP="009F7690">
      <w:pPr>
        <w:spacing w:line="400" w:lineRule="exact"/>
        <w:rPr>
          <w:b/>
          <w:bCs/>
          <w:szCs w:val="21"/>
        </w:rPr>
      </w:pPr>
      <w:r>
        <w:rPr>
          <w:b/>
          <w:bCs/>
          <w:szCs w:val="21"/>
        </w:rPr>
        <w:t>9.</w:t>
      </w:r>
      <w:r>
        <w:rPr>
          <w:b/>
          <w:bCs/>
          <w:szCs w:val="21"/>
        </w:rPr>
        <w:t>用抗炎镇痛药治疗不是病因治疗，而是对症治疗。</w:t>
      </w:r>
    </w:p>
    <w:p w:rsidR="009F7690" w:rsidRDefault="009F7690" w:rsidP="009F7690">
      <w:pPr>
        <w:spacing w:line="400" w:lineRule="exact"/>
        <w:rPr>
          <w:b/>
          <w:bCs/>
          <w:szCs w:val="21"/>
        </w:rPr>
      </w:pPr>
      <w:r>
        <w:rPr>
          <w:b/>
          <w:bCs/>
          <w:szCs w:val="21"/>
        </w:rPr>
        <w:t>10.</w:t>
      </w:r>
      <w:r>
        <w:rPr>
          <w:b/>
          <w:bCs/>
          <w:szCs w:val="21"/>
        </w:rPr>
        <w:t>用药部位如有烧灼感、瘙痒、红肿等皮肤反应，应停药，并将局部药物洗净，必要时向医师咨询。</w:t>
      </w:r>
    </w:p>
    <w:p w:rsidR="009F7690" w:rsidRDefault="009F7690" w:rsidP="009F7690">
      <w:pPr>
        <w:spacing w:line="400" w:lineRule="exact"/>
        <w:rPr>
          <w:b/>
          <w:bCs/>
          <w:szCs w:val="21"/>
        </w:rPr>
      </w:pPr>
      <w:r>
        <w:rPr>
          <w:b/>
          <w:bCs/>
          <w:szCs w:val="21"/>
        </w:rPr>
        <w:t>11.</w:t>
      </w:r>
      <w:r>
        <w:rPr>
          <w:b/>
          <w:bCs/>
          <w:szCs w:val="21"/>
        </w:rPr>
        <w:t>在整个治疗期间和治疗结束后的</w:t>
      </w:r>
      <w:r>
        <w:rPr>
          <w:b/>
          <w:bCs/>
          <w:szCs w:val="21"/>
        </w:rPr>
        <w:t>2</w:t>
      </w:r>
      <w:r>
        <w:rPr>
          <w:b/>
          <w:bCs/>
          <w:szCs w:val="21"/>
        </w:rPr>
        <w:t>周内，用合适的衣物保护治疗区域免受日光照射，以防止任何光敏反应的风险。</w:t>
      </w:r>
    </w:p>
    <w:p w:rsidR="009F7690" w:rsidRDefault="009F7690" w:rsidP="009F7690">
      <w:pPr>
        <w:spacing w:line="400" w:lineRule="exact"/>
        <w:rPr>
          <w:b/>
          <w:bCs/>
          <w:szCs w:val="21"/>
        </w:rPr>
      </w:pPr>
      <w:r>
        <w:rPr>
          <w:b/>
          <w:bCs/>
          <w:szCs w:val="21"/>
        </w:rPr>
        <w:t>12.</w:t>
      </w:r>
      <w:r>
        <w:rPr>
          <w:b/>
          <w:bCs/>
          <w:szCs w:val="21"/>
        </w:rPr>
        <w:t>治疗</w:t>
      </w:r>
      <w:r>
        <w:rPr>
          <w:b/>
          <w:bCs/>
          <w:szCs w:val="21"/>
        </w:rPr>
        <w:t>7</w:t>
      </w:r>
      <w:r>
        <w:rPr>
          <w:b/>
          <w:bCs/>
          <w:szCs w:val="21"/>
        </w:rPr>
        <w:t>天后，不见好转，应咨询医师。</w:t>
      </w:r>
    </w:p>
    <w:p w:rsidR="009F7690" w:rsidRDefault="009F7690" w:rsidP="009F7690">
      <w:pPr>
        <w:spacing w:line="400" w:lineRule="exact"/>
        <w:rPr>
          <w:b/>
          <w:bCs/>
          <w:szCs w:val="21"/>
        </w:rPr>
      </w:pPr>
      <w:r>
        <w:rPr>
          <w:b/>
          <w:bCs/>
          <w:szCs w:val="21"/>
        </w:rPr>
        <w:t>13.</w:t>
      </w:r>
      <w:r>
        <w:rPr>
          <w:b/>
          <w:bCs/>
          <w:szCs w:val="21"/>
        </w:rPr>
        <w:t>对本品过敏者禁用，过敏体质者慎用。</w:t>
      </w:r>
    </w:p>
    <w:p w:rsidR="009F7690" w:rsidRDefault="009F7690" w:rsidP="009F7690">
      <w:pPr>
        <w:spacing w:line="400" w:lineRule="exact"/>
        <w:rPr>
          <w:b/>
          <w:bCs/>
          <w:szCs w:val="21"/>
        </w:rPr>
      </w:pPr>
      <w:r>
        <w:rPr>
          <w:b/>
          <w:bCs/>
          <w:szCs w:val="21"/>
        </w:rPr>
        <w:t>14.</w:t>
      </w:r>
      <w:r>
        <w:rPr>
          <w:b/>
          <w:bCs/>
          <w:szCs w:val="21"/>
        </w:rPr>
        <w:t>本品性状发生改变时禁止使用。</w:t>
      </w:r>
    </w:p>
    <w:p w:rsidR="009F7690" w:rsidRDefault="009F7690" w:rsidP="009F7690">
      <w:pPr>
        <w:spacing w:line="400" w:lineRule="exact"/>
        <w:rPr>
          <w:b/>
          <w:bCs/>
          <w:szCs w:val="21"/>
        </w:rPr>
      </w:pPr>
      <w:r>
        <w:rPr>
          <w:b/>
          <w:bCs/>
          <w:szCs w:val="21"/>
        </w:rPr>
        <w:t>15.</w:t>
      </w:r>
      <w:r>
        <w:rPr>
          <w:b/>
          <w:bCs/>
          <w:szCs w:val="21"/>
        </w:rPr>
        <w:t>请将本品放在儿童不能接触的地方。</w:t>
      </w:r>
      <w:r>
        <w:rPr>
          <w:b/>
          <w:bCs/>
          <w:szCs w:val="21"/>
        </w:rPr>
        <w:br/>
        <w:t>16.</w:t>
      </w:r>
      <w:r>
        <w:rPr>
          <w:b/>
          <w:bCs/>
          <w:szCs w:val="21"/>
        </w:rPr>
        <w:t>儿童必须在成人监护下使用。</w:t>
      </w:r>
    </w:p>
    <w:p w:rsidR="009F7690" w:rsidRDefault="009F7690" w:rsidP="009F7690">
      <w:pPr>
        <w:spacing w:line="400" w:lineRule="exact"/>
        <w:rPr>
          <w:szCs w:val="21"/>
        </w:rPr>
      </w:pPr>
      <w:r>
        <w:rPr>
          <w:b/>
          <w:bCs/>
          <w:szCs w:val="21"/>
        </w:rPr>
        <w:t>17.</w:t>
      </w:r>
      <w:r>
        <w:rPr>
          <w:b/>
          <w:bCs/>
          <w:szCs w:val="21"/>
        </w:rPr>
        <w:t>如正在使用其他药品，使用本品前请咨询医师或药师。</w:t>
      </w:r>
    </w:p>
    <w:p w:rsidR="009F7690" w:rsidRDefault="009F7690" w:rsidP="009F7690">
      <w:pPr>
        <w:spacing w:line="400" w:lineRule="exact"/>
        <w:rPr>
          <w:szCs w:val="21"/>
        </w:rPr>
      </w:pPr>
      <w:r>
        <w:rPr>
          <w:szCs w:val="21"/>
        </w:rPr>
        <w:t>[</w:t>
      </w:r>
      <w:r>
        <w:rPr>
          <w:szCs w:val="21"/>
        </w:rPr>
        <w:t>药物相互作用</w:t>
      </w:r>
      <w:r>
        <w:rPr>
          <w:szCs w:val="21"/>
        </w:rPr>
        <w:t xml:space="preserve">] </w:t>
      </w:r>
    </w:p>
    <w:p w:rsidR="009F7690" w:rsidRDefault="009F7690" w:rsidP="009F7690">
      <w:pPr>
        <w:spacing w:line="400" w:lineRule="exact"/>
        <w:rPr>
          <w:bCs/>
          <w:szCs w:val="21"/>
        </w:rPr>
      </w:pPr>
      <w:r>
        <w:rPr>
          <w:bCs/>
          <w:szCs w:val="21"/>
        </w:rPr>
        <w:t>如与其他药物同时使用可能会发生药物相互作用，详情请咨询医师或药师。</w:t>
      </w:r>
    </w:p>
    <w:p w:rsidR="009F7690" w:rsidRDefault="009F7690" w:rsidP="009F7690">
      <w:pPr>
        <w:spacing w:line="400" w:lineRule="exact"/>
        <w:rPr>
          <w:szCs w:val="21"/>
        </w:rPr>
      </w:pPr>
      <w:r>
        <w:rPr>
          <w:szCs w:val="21"/>
        </w:rPr>
        <w:t>[</w:t>
      </w:r>
      <w:r>
        <w:rPr>
          <w:szCs w:val="21"/>
        </w:rPr>
        <w:t>药理作用</w:t>
      </w:r>
      <w:r>
        <w:rPr>
          <w:szCs w:val="21"/>
        </w:rPr>
        <w:t>]</w:t>
      </w:r>
      <w:r>
        <w:rPr>
          <w:szCs w:val="21"/>
        </w:rPr>
        <w:t>本品为外用芳基丙酸类非甾体抗炎药，具有镇痛、抗炎作用，其机理可能主要是抑制前列腺素的合成。</w:t>
      </w:r>
    </w:p>
    <w:p w:rsidR="009F7690" w:rsidRDefault="009F7690" w:rsidP="009F7690">
      <w:pPr>
        <w:spacing w:line="400" w:lineRule="exact"/>
        <w:rPr>
          <w:szCs w:val="22"/>
        </w:rPr>
      </w:pPr>
      <w:r>
        <w:t>[</w:t>
      </w:r>
      <w:r>
        <w:t>贮藏</w:t>
      </w:r>
      <w:r>
        <w:t>]</w:t>
      </w:r>
    </w:p>
    <w:p w:rsidR="009F7690" w:rsidRDefault="009F7690" w:rsidP="009F7690">
      <w:pPr>
        <w:spacing w:line="400" w:lineRule="exact"/>
      </w:pPr>
      <w:r>
        <w:t>[</w:t>
      </w:r>
      <w:r>
        <w:t>包装</w:t>
      </w:r>
      <w:r>
        <w:t>]</w:t>
      </w:r>
    </w:p>
    <w:p w:rsidR="009F7690" w:rsidRDefault="009F7690" w:rsidP="009F7690">
      <w:pPr>
        <w:spacing w:line="400" w:lineRule="exact"/>
      </w:pPr>
      <w:r>
        <w:t>[</w:t>
      </w:r>
      <w:r>
        <w:t>有效期</w:t>
      </w:r>
      <w:r>
        <w:t>]</w:t>
      </w:r>
    </w:p>
    <w:p w:rsidR="009F7690" w:rsidRDefault="009F7690" w:rsidP="009F7690">
      <w:pPr>
        <w:spacing w:line="400" w:lineRule="exact"/>
      </w:pPr>
      <w:r>
        <w:t>[</w:t>
      </w:r>
      <w:r>
        <w:t>执行标准</w:t>
      </w:r>
      <w:r>
        <w:t>]</w:t>
      </w:r>
    </w:p>
    <w:p w:rsidR="009F7690" w:rsidRDefault="009F7690" w:rsidP="009F7690">
      <w:pPr>
        <w:spacing w:line="400" w:lineRule="exact"/>
        <w:rPr>
          <w:kern w:val="0"/>
        </w:rPr>
      </w:pPr>
      <w:r>
        <w:rPr>
          <w:kern w:val="0"/>
        </w:rPr>
        <w:t>[</w:t>
      </w:r>
      <w:r>
        <w:rPr>
          <w:kern w:val="0"/>
        </w:rPr>
        <w:t>批准文号</w:t>
      </w:r>
      <w:r>
        <w:rPr>
          <w:kern w:val="0"/>
        </w:rPr>
        <w:t>]</w:t>
      </w:r>
    </w:p>
    <w:p w:rsidR="009F7690" w:rsidRDefault="009F7690" w:rsidP="009F7690">
      <w:pPr>
        <w:spacing w:line="400" w:lineRule="exact"/>
        <w:rPr>
          <w:szCs w:val="21"/>
        </w:rPr>
      </w:pPr>
      <w:r>
        <w:t>[</w:t>
      </w:r>
      <w:r>
        <w:t>说明书修订日期</w:t>
      </w:r>
      <w:r>
        <w:t xml:space="preserve">] </w:t>
      </w:r>
      <w:r>
        <w:rPr>
          <w:szCs w:val="21"/>
        </w:rPr>
        <w:t xml:space="preserve"> </w:t>
      </w:r>
    </w:p>
    <w:p w:rsidR="009F7690" w:rsidRDefault="009F7690" w:rsidP="009F7690">
      <w:pPr>
        <w:spacing w:line="400" w:lineRule="exact"/>
        <w:rPr>
          <w:bCs/>
          <w:szCs w:val="22"/>
        </w:rPr>
      </w:pPr>
      <w:r>
        <w:rPr>
          <w:bCs/>
        </w:rPr>
        <w:t>[</w:t>
      </w:r>
      <w:r>
        <w:rPr>
          <w:bCs/>
        </w:rPr>
        <w:t>上市许可持有人</w:t>
      </w:r>
      <w:r>
        <w:rPr>
          <w:bCs/>
        </w:rPr>
        <w:t>]</w:t>
      </w:r>
    </w:p>
    <w:p w:rsidR="009F7690" w:rsidRDefault="009F7690" w:rsidP="009F7690">
      <w:pPr>
        <w:spacing w:line="400" w:lineRule="exact"/>
        <w:rPr>
          <w:bCs/>
        </w:rPr>
      </w:pPr>
      <w:r>
        <w:rPr>
          <w:bCs/>
        </w:rPr>
        <w:t>名</w:t>
      </w:r>
      <w:r>
        <w:rPr>
          <w:bCs/>
        </w:rPr>
        <w:t xml:space="preserve">    </w:t>
      </w:r>
      <w:r>
        <w:rPr>
          <w:bCs/>
        </w:rPr>
        <w:t>称：</w:t>
      </w:r>
      <w:r>
        <w:rPr>
          <w:bCs/>
        </w:rPr>
        <w:t xml:space="preserve"> </w:t>
      </w:r>
    </w:p>
    <w:p w:rsidR="009F7690" w:rsidRDefault="009F7690" w:rsidP="009F7690">
      <w:pPr>
        <w:spacing w:line="400" w:lineRule="exact"/>
        <w:rPr>
          <w:bCs/>
        </w:rPr>
      </w:pPr>
      <w:r>
        <w:rPr>
          <w:bCs/>
        </w:rPr>
        <w:t>注册地址：</w:t>
      </w:r>
    </w:p>
    <w:p w:rsidR="009F7690" w:rsidRDefault="009F7690" w:rsidP="009F7690">
      <w:pPr>
        <w:spacing w:line="400" w:lineRule="exact"/>
        <w:rPr>
          <w:bCs/>
        </w:rPr>
      </w:pPr>
      <w:r>
        <w:rPr>
          <w:bCs/>
        </w:rPr>
        <w:t>邮政编码：</w:t>
      </w:r>
    </w:p>
    <w:p w:rsidR="009F7690" w:rsidRDefault="009F7690" w:rsidP="009F7690">
      <w:pPr>
        <w:spacing w:line="400" w:lineRule="exact"/>
        <w:rPr>
          <w:bCs/>
        </w:rPr>
      </w:pPr>
      <w:r>
        <w:rPr>
          <w:bCs/>
        </w:rPr>
        <w:lastRenderedPageBreak/>
        <w:t>电话号码：</w:t>
      </w:r>
    </w:p>
    <w:p w:rsidR="009F7690" w:rsidRDefault="009F7690" w:rsidP="009F7690">
      <w:pPr>
        <w:spacing w:line="400" w:lineRule="exact"/>
        <w:rPr>
          <w:bCs/>
        </w:rPr>
      </w:pPr>
      <w:r>
        <w:rPr>
          <w:bCs/>
        </w:rPr>
        <w:t>传真号码：</w:t>
      </w:r>
    </w:p>
    <w:p w:rsidR="009F7690" w:rsidRDefault="009F7690" w:rsidP="009F7690">
      <w:pPr>
        <w:spacing w:line="400" w:lineRule="exact"/>
        <w:rPr>
          <w:bCs/>
        </w:rPr>
      </w:pPr>
      <w:r>
        <w:rPr>
          <w:bCs/>
        </w:rPr>
        <w:t>网</w:t>
      </w:r>
      <w:r>
        <w:rPr>
          <w:bCs/>
        </w:rPr>
        <w:t xml:space="preserve">    </w:t>
      </w:r>
      <w:r>
        <w:rPr>
          <w:bCs/>
        </w:rPr>
        <w:t>址：</w:t>
      </w:r>
    </w:p>
    <w:p w:rsidR="009F7690" w:rsidRDefault="009F7690" w:rsidP="009F7690">
      <w:pPr>
        <w:spacing w:line="400" w:lineRule="exact"/>
        <w:rPr>
          <w:bCs/>
        </w:rPr>
      </w:pPr>
      <w:r>
        <w:rPr>
          <w:bCs/>
        </w:rPr>
        <w:t>[</w:t>
      </w:r>
      <w:r>
        <w:rPr>
          <w:bCs/>
        </w:rPr>
        <w:t>生产企业</w:t>
      </w:r>
      <w:r>
        <w:rPr>
          <w:bCs/>
        </w:rPr>
        <w:t>]</w:t>
      </w:r>
    </w:p>
    <w:p w:rsidR="009F7690" w:rsidRDefault="009F7690" w:rsidP="009F7690">
      <w:pPr>
        <w:spacing w:line="400" w:lineRule="exact"/>
        <w:rPr>
          <w:bCs/>
        </w:rPr>
      </w:pPr>
      <w:r>
        <w:rPr>
          <w:bCs/>
        </w:rPr>
        <w:t>企业名称：</w:t>
      </w:r>
      <w:r>
        <w:rPr>
          <w:bCs/>
        </w:rPr>
        <w:t xml:space="preserve"> </w:t>
      </w:r>
    </w:p>
    <w:p w:rsidR="009F7690" w:rsidRDefault="009F7690" w:rsidP="009F7690">
      <w:pPr>
        <w:spacing w:line="400" w:lineRule="exact"/>
        <w:rPr>
          <w:bCs/>
        </w:rPr>
      </w:pPr>
      <w:r>
        <w:rPr>
          <w:bCs/>
        </w:rPr>
        <w:t>生产地址：</w:t>
      </w:r>
    </w:p>
    <w:p w:rsidR="009F7690" w:rsidRDefault="009F7690" w:rsidP="009F7690">
      <w:pPr>
        <w:spacing w:line="400" w:lineRule="exact"/>
        <w:rPr>
          <w:bCs/>
        </w:rPr>
      </w:pPr>
      <w:r>
        <w:rPr>
          <w:bCs/>
        </w:rPr>
        <w:t>邮政编码：</w:t>
      </w:r>
    </w:p>
    <w:p w:rsidR="009F7690" w:rsidRDefault="009F7690" w:rsidP="009F7690">
      <w:pPr>
        <w:spacing w:line="400" w:lineRule="exact"/>
        <w:rPr>
          <w:bCs/>
        </w:rPr>
      </w:pPr>
      <w:r>
        <w:rPr>
          <w:bCs/>
        </w:rPr>
        <w:t>电话号码：</w:t>
      </w:r>
    </w:p>
    <w:p w:rsidR="009F7690" w:rsidRDefault="009F7690" w:rsidP="009F7690">
      <w:pPr>
        <w:spacing w:line="400" w:lineRule="exact"/>
        <w:rPr>
          <w:bCs/>
        </w:rPr>
      </w:pPr>
      <w:r>
        <w:rPr>
          <w:bCs/>
        </w:rPr>
        <w:t>传真号码：</w:t>
      </w:r>
    </w:p>
    <w:p w:rsidR="009F7690" w:rsidRDefault="009F7690" w:rsidP="009F7690">
      <w:pPr>
        <w:spacing w:line="400" w:lineRule="exact"/>
        <w:rPr>
          <w:bCs/>
        </w:rPr>
      </w:pPr>
      <w:r>
        <w:rPr>
          <w:bCs/>
        </w:rPr>
        <w:t>网</w:t>
      </w:r>
      <w:r>
        <w:rPr>
          <w:bCs/>
        </w:rPr>
        <w:t xml:space="preserve">    </w:t>
      </w:r>
      <w:r>
        <w:rPr>
          <w:bCs/>
        </w:rPr>
        <w:t>址：</w:t>
      </w:r>
    </w:p>
    <w:p w:rsidR="009F7690" w:rsidRDefault="009F7690" w:rsidP="009F7690">
      <w:pPr>
        <w:spacing w:line="400" w:lineRule="exact"/>
        <w:rPr>
          <w:b/>
          <w:bCs/>
        </w:rPr>
      </w:pPr>
      <w:r>
        <w:rPr>
          <w:b/>
          <w:bCs/>
        </w:rPr>
        <w:t>如有问题可与药品上市许可持有人联系</w:t>
      </w:r>
    </w:p>
    <w:p w:rsidR="009F7690" w:rsidRDefault="009F7690" w:rsidP="009F7690">
      <w:pPr>
        <w:spacing w:line="400" w:lineRule="exact"/>
        <w:rPr>
          <w:b/>
          <w:bCs/>
        </w:rPr>
      </w:pPr>
    </w:p>
    <w:p w:rsidR="00D67046" w:rsidRPr="009F7690" w:rsidRDefault="009F7690" w:rsidP="009F7690">
      <w:pPr>
        <w:spacing w:line="400" w:lineRule="exact"/>
        <w:rPr>
          <w:rFonts w:eastAsia="仿宋" w:hint="eastAsia"/>
          <w:sz w:val="28"/>
          <w:szCs w:val="28"/>
        </w:rPr>
      </w:pPr>
      <w:r>
        <w:t>（注：本说明书范本原则上不得删减，如原批准说明书的安全性内容较本范本内容更全面或更严格的，应保留原批准内容。）</w:t>
      </w:r>
      <w:bookmarkStart w:id="0" w:name="_GoBack"/>
      <w:bookmarkEnd w:id="0"/>
    </w:p>
    <w:sectPr w:rsidR="00D67046" w:rsidRPr="009F769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E11"/>
    <w:rsid w:val="00266E11"/>
    <w:rsid w:val="009F7690"/>
    <w:rsid w:val="00D67046"/>
    <w:rsid w:val="00ED42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DECDE8-F79B-4FA2-824B-7E93A2198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6E11"/>
    <w:pPr>
      <w:widowControl w:val="0"/>
      <w:jc w:val="both"/>
    </w:pPr>
    <w:rPr>
      <w:rFonts w:ascii="Times New Roman" w:eastAsia="宋体" w:hAnsi="Times New Roman" w:cs="Times New Roman"/>
      <w:szCs w:val="24"/>
    </w:rPr>
  </w:style>
  <w:style w:type="paragraph" w:styleId="1">
    <w:name w:val="heading 1"/>
    <w:basedOn w:val="a"/>
    <w:link w:val="1Char"/>
    <w:uiPriority w:val="9"/>
    <w:qFormat/>
    <w:rsid w:val="00ED426B"/>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a"/>
    <w:next w:val="a"/>
    <w:link w:val="2Char"/>
    <w:uiPriority w:val="9"/>
    <w:qFormat/>
    <w:rsid w:val="009F7690"/>
    <w:pPr>
      <w:keepNext/>
      <w:keepLines/>
      <w:spacing w:before="260" w:after="260" w:line="415" w:lineRule="auto"/>
      <w:outlineLvl w:val="1"/>
    </w:pPr>
    <w:rPr>
      <w:rFonts w:ascii="Cambria" w:hAnsi="Cambria" w:cs="宋体"/>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D426B"/>
    <w:rPr>
      <w:rFonts w:ascii="宋体" w:eastAsia="宋体" w:hAnsi="宋体" w:cs="宋体"/>
      <w:b/>
      <w:bCs/>
      <w:kern w:val="36"/>
      <w:sz w:val="48"/>
      <w:szCs w:val="48"/>
    </w:rPr>
  </w:style>
  <w:style w:type="character" w:styleId="a3">
    <w:name w:val="Strong"/>
    <w:basedOn w:val="a0"/>
    <w:uiPriority w:val="22"/>
    <w:qFormat/>
    <w:rsid w:val="00ED426B"/>
    <w:rPr>
      <w:b/>
      <w:bCs/>
    </w:rPr>
  </w:style>
  <w:style w:type="character" w:styleId="a4">
    <w:name w:val="Emphasis"/>
    <w:basedOn w:val="a0"/>
    <w:uiPriority w:val="20"/>
    <w:qFormat/>
    <w:rsid w:val="00ED426B"/>
    <w:rPr>
      <w:i/>
      <w:iCs/>
    </w:rPr>
  </w:style>
  <w:style w:type="character" w:customStyle="1" w:styleId="2Char">
    <w:name w:val="标题 2 Char"/>
    <w:basedOn w:val="a0"/>
    <w:link w:val="2"/>
    <w:uiPriority w:val="9"/>
    <w:rsid w:val="009F7690"/>
    <w:rPr>
      <w:rFonts w:ascii="Cambria" w:eastAsia="宋体" w:hAnsi="Cambria" w:cs="宋体"/>
      <w:b/>
      <w:bCs/>
      <w:sz w:val="32"/>
      <w:szCs w:val="32"/>
    </w:rPr>
  </w:style>
  <w:style w:type="paragraph" w:styleId="a5">
    <w:name w:val="List Paragraph"/>
    <w:basedOn w:val="a"/>
    <w:uiPriority w:val="34"/>
    <w:qFormat/>
    <w:rsid w:val="009F769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211</Words>
  <Characters>1206</Characters>
  <Application>Microsoft Office Word</Application>
  <DocSecurity>0</DocSecurity>
  <Lines>10</Lines>
  <Paragraphs>2</Paragraphs>
  <ScaleCrop>false</ScaleCrop>
  <Company/>
  <LinksUpToDate>false</LinksUpToDate>
  <CharactersWithSpaces>1415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2024-12-17T01:04:00Z</dcterms:created>
  <dcterms:modified xsi:type="dcterms:W3CDTF">2024-12-17T01:04:00Z</dcterms:modified>
</cp:coreProperties>
</file>