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D7800">
      <w:pPr>
        <w:rPr>
          <w:rFonts w:hint="eastAsia"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 w14:paraId="4EC044C4">
      <w:pPr>
        <w:spacing w:before="0"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甲磺酸吉米沙星片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说明书</w:t>
      </w:r>
    </w:p>
    <w:p w14:paraId="6BFE96C9">
      <w:pPr>
        <w:spacing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要求</w:t>
      </w:r>
    </w:p>
    <w:p w14:paraId="65938C5B">
      <w:pPr>
        <w:overflowPunct w:val="0"/>
        <w:spacing w:before="312" w:beforeLines="100"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黑框</w:t>
      </w:r>
      <w:r>
        <w:rPr>
          <w:rFonts w:eastAsia="黑体"/>
          <w:sz w:val="32"/>
          <w:szCs w:val="32"/>
        </w:rPr>
        <w:t>警告</w:t>
      </w:r>
      <w:r>
        <w:rPr>
          <w:rFonts w:hint="eastAsia" w:eastAsia="黑体"/>
          <w:sz w:val="32"/>
          <w:szCs w:val="32"/>
        </w:rPr>
        <w:t>项下</w:t>
      </w:r>
      <w:r>
        <w:rPr>
          <w:rFonts w:eastAsia="黑体"/>
          <w:sz w:val="32"/>
          <w:szCs w:val="32"/>
        </w:rPr>
        <w:t>修订为以下内容：</w:t>
      </w:r>
    </w:p>
    <w:p w14:paraId="573CAB08">
      <w:pPr>
        <w:pStyle w:val="7"/>
        <w:kinsoku w:val="0"/>
        <w:overflowPunct w:val="0"/>
        <w:spacing w:line="408" w:lineRule="auto"/>
        <w:ind w:firstLine="0" w:firstLineChars="0"/>
        <w:textAlignment w:val="baseline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57150</wp:posOffset>
                </wp:positionV>
                <wp:extent cx="5753100" cy="6511290"/>
                <wp:effectExtent l="4445" t="4445" r="1460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51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3pt;margin-top:4.5pt;height:512.7pt;width:453pt;z-index:-251657216;mso-width-relative:page;mso-height-relative:page;" fillcolor="#FFFFFF" filled="t" stroked="t" coordsize="21600,21600" o:gfxdata="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UsUtP2AAAAAoBAAAPAAAAAAAAAAEAIAAA&#10;ACIAAABkcnMvZG93bnJldi54bWxQSwECFAAUAAAACACHTuJAQL67uwwCAAA7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警告：</w:t>
      </w:r>
    </w:p>
    <w:p w14:paraId="1DDCD0E0">
      <w:pPr>
        <w:pStyle w:val="7"/>
        <w:kinsoku w:val="0"/>
        <w:overflowPunct w:val="0"/>
        <w:spacing w:line="408" w:lineRule="auto"/>
        <w:ind w:firstLine="0" w:firstLineChars="0"/>
        <w:textAlignment w:val="baseline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严重不良反应，包括肌腱炎和肌腱断裂，周围神经病变，中枢神经系统的影响和重症肌无力加剧。</w:t>
      </w:r>
    </w:p>
    <w:p w14:paraId="02739355">
      <w:pPr>
        <w:pStyle w:val="3"/>
        <w:kinsoku w:val="0"/>
        <w:overflowPunct w:val="0"/>
        <w:spacing w:before="0" w:beforeAutospacing="0" w:after="0" w:afterAutospacing="0"/>
        <w:textAlignment w:val="baseline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·使用氟喹诺酮类药品(包括本品)，已有报告同时发生致残和潜在的不可逆转的严重不良反应(参见【注意事项】)，包括：</w:t>
      </w:r>
    </w:p>
    <w:p w14:paraId="01928F91">
      <w:pPr>
        <w:pStyle w:val="3"/>
        <w:kinsoku w:val="0"/>
        <w:overflowPunct w:val="0"/>
        <w:spacing w:before="0" w:beforeAutospacing="0" w:after="0" w:afterAutospacing="0"/>
        <w:textAlignment w:val="baseline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- 肌腱炎和肌腱断裂(参见【注意事项】)</w:t>
      </w:r>
    </w:p>
    <w:p w14:paraId="4F4848BA">
      <w:pPr>
        <w:pStyle w:val="3"/>
        <w:kinsoku w:val="0"/>
        <w:overflowPunct w:val="0"/>
        <w:spacing w:before="0" w:beforeAutospacing="0" w:after="0" w:afterAutospacing="0"/>
        <w:textAlignment w:val="baseline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- 周围神经病变(参见【注意事项】)</w:t>
      </w:r>
    </w:p>
    <w:p w14:paraId="5698E22D">
      <w:pPr>
        <w:pStyle w:val="3"/>
        <w:kinsoku w:val="0"/>
        <w:overflowPunct w:val="0"/>
        <w:spacing w:before="0" w:beforeAutospacing="0" w:after="0" w:afterAutospacing="0"/>
        <w:textAlignment w:val="baseline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- 中枢神经系统的影响(参见【注意事项】)</w:t>
      </w:r>
    </w:p>
    <w:p w14:paraId="1DE50930">
      <w:pPr>
        <w:pStyle w:val="3"/>
        <w:kinsoku w:val="0"/>
        <w:overflowPunct w:val="0"/>
        <w:spacing w:before="0" w:beforeAutospacing="0" w:after="0" w:afterAutospacing="0"/>
        <w:textAlignment w:val="baseline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- 主动脉瘤和主动脉夹层的风险（参见【注意事项】）</w:t>
      </w:r>
    </w:p>
    <w:p w14:paraId="0369E913">
      <w:pPr>
        <w:pStyle w:val="3"/>
        <w:kinsoku w:val="0"/>
        <w:overflowPunct w:val="0"/>
        <w:spacing w:before="0" w:beforeAutospacing="0" w:after="0" w:afterAutospacing="0"/>
        <w:textAlignment w:val="baseline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当发生这些严重不良反应(参见【注意事项】)，应立即停用本品并避免使用氟喹诺酮类药品。</w:t>
      </w:r>
    </w:p>
    <w:p w14:paraId="7D1CF632">
      <w:pPr>
        <w:pStyle w:val="3"/>
        <w:kinsoku w:val="0"/>
        <w:overflowPunct w:val="0"/>
        <w:spacing w:before="0" w:beforeAutospacing="0" w:after="0" w:afterAutospacing="0"/>
        <w:textAlignment w:val="baseline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· 氟喹诺酮类药品可能会加剧重症肌无力患者的肌无力症状。已知有重症肌无力病史的患者应避免使用本品(参见【注意事项】)。</w:t>
      </w:r>
    </w:p>
    <w:p w14:paraId="74070B46">
      <w:pPr>
        <w:pStyle w:val="3"/>
        <w:kinsoku w:val="0"/>
        <w:overflowPunct w:val="0"/>
        <w:spacing w:before="0" w:beforeAutospacing="0" w:after="0" w:afterAutospacing="0"/>
        <w:textAlignment w:val="baseline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· 本品可发生严重的皮肤反应，如多形性红斑、中毒性表皮坏死松解症和史蒂文斯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约翰逊综合征。皮疹更常见于40岁以下的患者，特别是女性及接受激素替代疗法的女性。皮疹的发生率在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-7620</wp:posOffset>
                </wp:positionV>
                <wp:extent cx="5796280" cy="2771140"/>
                <wp:effectExtent l="4445" t="4445" r="9525" b="571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280" cy="277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95pt;margin-top:-0.6pt;height:218.2pt;width:456.4pt;z-index:-251656192;mso-width-relative:page;mso-height-relative:page;" fillcolor="#FFFFFF" filled="t" stroked="t" coordsize="21600,21600" o:gfxdata="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0PmvZ2AAAAAoBAAAPAAAAAAAAAAEAIAAA&#10;ACIAAABkcnMvZG93bnJldi54bWxQSwECFAAUAAAACACHTuJAMzGICwwCAAA7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治疗时间超过5天，尤其是超过7天的患者中更高，有的患者可在停药治疗后数天发生（参见【不良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反应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】和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【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注意事项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】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）。</w:t>
      </w:r>
    </w:p>
    <w:p w14:paraId="26BECD18">
      <w:pPr>
        <w:pStyle w:val="3"/>
        <w:kinsoku w:val="0"/>
        <w:overflowPunct w:val="0"/>
        <w:spacing w:before="0" w:beforeAutospacing="0" w:after="0" w:afterAutospacing="0"/>
        <w:textAlignment w:val="baseline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· 由于使用氟喹诺酮类药品（包括甲磺酸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吉米沙星片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）已有报道发生严重不良反应(参见【注意事项】)。对于属于下列适应症的患者，应在没有其他药品治疗时方可使用本品：</w:t>
      </w:r>
    </w:p>
    <w:p w14:paraId="2B9F9175">
      <w:pPr>
        <w:pStyle w:val="3"/>
        <w:kinsoku w:val="0"/>
        <w:overflowPunct w:val="0"/>
        <w:spacing w:before="0" w:beforeAutospacing="0" w:after="0" w:afterAutospacing="0"/>
        <w:textAlignment w:val="baseline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- 急性细菌性鼻窦炎(参见【适应症】和【用法用量】)</w:t>
      </w:r>
    </w:p>
    <w:p w14:paraId="02EBB678">
      <w:pPr>
        <w:pStyle w:val="3"/>
        <w:kinsoku w:val="0"/>
        <w:overflowPunct w:val="0"/>
        <w:spacing w:before="0" w:beforeAutospacing="0" w:after="0" w:afterAutospacing="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- 慢性支气管炎急性发作(参见【适应症】和【用法用量】)</w:t>
      </w:r>
    </w:p>
    <w:p w14:paraId="706E3F7A">
      <w:pPr>
        <w:overflowPunct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8051C61">
      <w:pPr>
        <w:overflowPunct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AAE813A">
      <w:pPr>
        <w:overflowPunct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（注：如原批准说明书的安全性内容较本修订要求内容更全面或更严格的，应保留原批准内容。说明书其他内容如与上述修订要求不一致的，应当一并进行修订。）</w:t>
      </w:r>
    </w:p>
    <w:p w14:paraId="6D128185">
      <w:pPr>
        <w:spacing w:beforeLines="0" w:after="0" w:afterLines="0" w:line="59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D5DA866">
      <w:pPr>
        <w:rPr>
          <w:rFonts w:hint="eastAsia" w:ascii="黑体" w:hAnsi="华文仿宋" w:eastAsia="黑体"/>
          <w:sz w:val="32"/>
          <w:szCs w:val="32"/>
        </w:rPr>
      </w:pPr>
    </w:p>
    <w:p w14:paraId="21F91A84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12283F7B">
      <w:pPr>
        <w:rPr>
          <w:rFonts w:hint="eastAsia" w:ascii="仿宋_GB2312" w:hAnsi="华文仿宋" w:eastAsia="仿宋_GB2312"/>
          <w:szCs w:val="21"/>
        </w:rPr>
      </w:pPr>
    </w:p>
    <w:p w14:paraId="48FD371D">
      <w:pPr>
        <w:rPr>
          <w:rFonts w:hint="eastAsia" w:ascii="仿宋_GB2312" w:hAnsi="华文仿宋" w:eastAsia="仿宋_GB2312"/>
          <w:szCs w:val="21"/>
        </w:rPr>
      </w:pPr>
    </w:p>
    <w:p w14:paraId="53944040">
      <w:pPr>
        <w:rPr>
          <w:rFonts w:hint="eastAsia" w:ascii="仿宋_GB2312" w:hAnsi="华文仿宋" w:eastAsia="仿宋_GB2312"/>
          <w:szCs w:val="21"/>
        </w:rPr>
      </w:pPr>
    </w:p>
    <w:p w14:paraId="2B414A15">
      <w:pPr>
        <w:rPr>
          <w:rFonts w:hint="eastAsia" w:ascii="仿宋_GB2312" w:hAnsi="华文仿宋" w:eastAsia="仿宋_GB2312"/>
          <w:szCs w:val="21"/>
        </w:rPr>
      </w:pPr>
    </w:p>
    <w:p w14:paraId="41FC90F2">
      <w:pPr>
        <w:rPr>
          <w:rFonts w:hint="eastAsia" w:ascii="仿宋_GB2312" w:hAnsi="华文仿宋" w:eastAsia="仿宋_GB2312"/>
          <w:szCs w:val="21"/>
        </w:rPr>
      </w:pPr>
    </w:p>
    <w:p w14:paraId="55410A98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B4D26">
    <w:pPr>
      <w:pStyle w:val="2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B07200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B07200"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AA855"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color w:val="FFFFFF"/>
        <w:sz w:val="28"/>
        <w:szCs w:val="28"/>
      </w:rPr>
      <w:t>—</w:t>
    </w: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 </w:t>
    </w:r>
  </w:p>
  <w:p w14:paraId="49138DE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D23F4"/>
    <w:rsid w:val="35422B99"/>
    <w:rsid w:val="5FFD23F4"/>
    <w:rsid w:val="6AA94925"/>
    <w:rsid w:val="F277F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1273</Words>
  <Characters>1287</Characters>
  <Lines>0</Lines>
  <Paragraphs>0</Paragraphs>
  <TotalTime>0</TotalTime>
  <ScaleCrop>false</ScaleCrop>
  <LinksUpToDate>false</LinksUpToDate>
  <CharactersWithSpaces>1306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2025-02-07T00:36:00Z</dcterms:created>
  <dc:creator>guil</dc:creator>
  <cp:lastModifiedBy>新祺</cp:lastModifiedBy>
  <dcterms:modified xsi:type="dcterms:W3CDTF">2025-02-07T00:54:43Z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92EA6880419848D4AEF4EBEF1DEA8600_13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