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3E2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079B77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非处方药说明书范本</w:t>
      </w:r>
    </w:p>
    <w:p w14:paraId="2608658D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180DB891"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经前舒颗粒</w:t>
      </w:r>
    </w:p>
    <w:p w14:paraId="4568FCCF">
      <w:pPr>
        <w:keepNext/>
        <w:keepLines/>
        <w:spacing w:line="540" w:lineRule="exact"/>
        <w:jc w:val="center"/>
        <w:outlineLvl w:val="1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21"/>
          <w:lang w:eastAsia="zh-CN"/>
        </w:rPr>
        <w:t>经前舒颗粒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t>说明书</w:t>
      </w:r>
    </w:p>
    <w:p w14:paraId="4A964033">
      <w:pPr>
        <w:spacing w:line="300" w:lineRule="exact"/>
        <w:jc w:val="center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请仔细阅读说明书并按说明使用或</w:t>
      </w:r>
      <w:r>
        <w:rPr>
          <w:rFonts w:hint="eastAsia" w:ascii="宋体" w:hAnsi="宋体" w:eastAsia="宋体" w:cs="Times New Roman"/>
          <w:b/>
          <w:lang w:eastAsia="zh-CN"/>
        </w:rPr>
        <w:t>者</w:t>
      </w:r>
      <w:r>
        <w:rPr>
          <w:rFonts w:hint="eastAsia" w:ascii="宋体" w:hAnsi="宋体" w:eastAsia="宋体" w:cs="Times New Roman"/>
          <w:b/>
        </w:rPr>
        <w:t>在药师指导下购买和使用</w:t>
      </w:r>
    </w:p>
    <w:p w14:paraId="348F123C">
      <w:pPr>
        <w:spacing w:line="30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B4AE1B3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eastAsia" w:ascii="Times New Roman" w:hAnsi="Times New Roman" w:eastAsia="宋体" w:cs="Times New Roman"/>
          <w:szCs w:val="21"/>
        </w:rPr>
        <w:t>药品名称</w:t>
      </w:r>
      <w:r>
        <w:rPr>
          <w:rFonts w:ascii="Times New Roman" w:hAnsi="Times New Roman" w:eastAsia="宋体" w:cs="Times New Roman"/>
          <w:szCs w:val="21"/>
        </w:rPr>
        <w:t>]</w:t>
      </w:r>
    </w:p>
    <w:p w14:paraId="0DDCB9D6">
      <w:pPr>
        <w:spacing w:line="280" w:lineRule="exac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Cs w:val="21"/>
        </w:rPr>
        <w:t>通用名称：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经前舒颗粒</w:t>
      </w:r>
    </w:p>
    <w:p w14:paraId="31F4796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汉语拼音：</w:t>
      </w:r>
    </w:p>
    <w:p w14:paraId="1BEEA2F9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成份</w:t>
      </w:r>
      <w:r>
        <w:rPr>
          <w:rFonts w:ascii="Times New Roman" w:hAnsi="Times New Roman" w:eastAsia="宋体" w:cs="Times New Roman"/>
          <w:szCs w:val="21"/>
        </w:rPr>
        <w:t>]</w:t>
      </w:r>
    </w:p>
    <w:p w14:paraId="467589E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性状</w:t>
      </w:r>
      <w:r>
        <w:rPr>
          <w:rFonts w:ascii="Times New Roman" w:hAnsi="Times New Roman" w:eastAsia="宋体" w:cs="Times New Roman"/>
          <w:szCs w:val="21"/>
        </w:rPr>
        <w:t>]</w:t>
      </w:r>
    </w:p>
    <w:p w14:paraId="18378046">
      <w:pPr>
        <w:spacing w:line="280" w:lineRule="exac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功能主治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养肝解郁，理气止痛。用于经前期综合征属肝气郁结、脾运失调证</w:t>
      </w:r>
      <w:r>
        <w:rPr>
          <w:rFonts w:hint="default" w:ascii="Times New Roman" w:hAnsi="Times New Roman" w:eastAsia="宋体" w:cs="Times New Roman"/>
          <w:szCs w:val="21"/>
        </w:rPr>
        <w:t>。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症见经前情绪低落，郁闷不乐，头痛，心烦，经前乳房胀痛，腹部胀满，食欲不振。</w:t>
      </w:r>
    </w:p>
    <w:p w14:paraId="0CAC709C">
      <w:pPr>
        <w:spacing w:line="280" w:lineRule="exac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Cs w:val="21"/>
        </w:rPr>
        <w:t>[规格]每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袋</w:t>
      </w:r>
      <w:r>
        <w:rPr>
          <w:rFonts w:hint="default" w:ascii="Times New Roman" w:hAnsi="Times New Roman" w:eastAsia="宋体" w:cs="Times New Roman"/>
          <w:szCs w:val="21"/>
        </w:rPr>
        <w:t>装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6克</w:t>
      </w:r>
    </w:p>
    <w:p w14:paraId="1A24713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用法用量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温开水冲服</w:t>
      </w:r>
      <w:r>
        <w:rPr>
          <w:rFonts w:hint="default" w:ascii="Times New Roman" w:hAnsi="Times New Roman" w:eastAsia="宋体" w:cs="Times New Roman"/>
          <w:szCs w:val="21"/>
        </w:rPr>
        <w:t>。一次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袋</w: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一日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3次</w:t>
      </w:r>
      <w:r>
        <w:rPr>
          <w:rFonts w:hint="default" w:ascii="Times New Roman" w:hAnsi="Times New Roman" w:eastAsia="宋体" w:cs="Times New Roman"/>
          <w:szCs w:val="21"/>
        </w:rPr>
        <w:t>。</w:t>
      </w:r>
    </w:p>
    <w:p w14:paraId="367CD99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不良反应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zCs w:val="21"/>
        </w:rPr>
        <w:t>监测数据显示，本品可见恶心、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呕吐个例报告</w:t>
      </w:r>
      <w:r>
        <w:rPr>
          <w:rFonts w:hint="default" w:ascii="Times New Roman" w:hAnsi="Times New Roman" w:eastAsia="宋体" w:cs="Times New Roman"/>
          <w:szCs w:val="21"/>
        </w:rPr>
        <w:t>。</w:t>
      </w:r>
    </w:p>
    <w:p w14:paraId="57BA5099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[</w:t>
      </w:r>
      <w:r>
        <w:rPr>
          <w:rFonts w:hint="default" w:ascii="Times New Roman" w:hAnsi="Times New Roman" w:eastAsia="宋体" w:cs="Times New Roman"/>
          <w:b/>
          <w:bCs/>
          <w:szCs w:val="21"/>
        </w:rPr>
        <w:t>禁忌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对本品及所含成份过敏者禁用。</w:t>
      </w:r>
    </w:p>
    <w:p w14:paraId="445CFAE7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[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注意事项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</w:p>
    <w:p w14:paraId="42BF5B93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忌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食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辛辣、生冷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油腻食物。</w:t>
      </w:r>
    </w:p>
    <w:p w14:paraId="05036F14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感冒发热者、月经期不宜服用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00C8A2B0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孕妇慎用，如确需服用，应当在医师指导下服用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5A982BA1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4.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月经过期，或者伴有恶心、呕吐者，应当先去医院就诊，排除怀孕可能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7BD70C97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5.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高血压、心脏病、肝病、糖尿病、肾病等患者应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当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在医师指导下服用。</w:t>
      </w:r>
    </w:p>
    <w:p w14:paraId="2607A269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6.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哺乳期妇女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、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青春期少女、更年期妇女，或者月经紊乱者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应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当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在医师指导下服用。</w:t>
      </w:r>
    </w:p>
    <w:p w14:paraId="12424689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7.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平素月经正常，突然出现月经过少，或者经期错后，或者阴道不规则出血者应当去医院就诊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3ACCC36E">
      <w:pPr>
        <w:spacing w:line="0" w:lineRule="atLeast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8.长期情绪低落、郁闷不乐者，或者乳腺增生者，应当去医院就诊。</w:t>
      </w:r>
    </w:p>
    <w:p w14:paraId="0F9B90F9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9.严重头痛，或者反复发作头痛与月经周期无关者，应当去医院就诊。</w:t>
      </w:r>
    </w:p>
    <w:p w14:paraId="73F69670">
      <w:pPr>
        <w:spacing w:line="300" w:lineRule="exact"/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10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szCs w:val="21"/>
        </w:rPr>
        <w:t>服药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Cs w:val="21"/>
        </w:rPr>
        <w:t>周症状无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缓解</w:t>
      </w:r>
      <w:r>
        <w:rPr>
          <w:rFonts w:hint="default" w:ascii="Times New Roman" w:hAnsi="Times New Roman" w:eastAsia="宋体" w:cs="Times New Roman"/>
          <w:b/>
          <w:szCs w:val="21"/>
        </w:rPr>
        <w:t>，或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者服药期间</w:t>
      </w:r>
      <w:r>
        <w:rPr>
          <w:rFonts w:hint="default" w:ascii="Times New Roman" w:hAnsi="Times New Roman" w:eastAsia="宋体" w:cs="Times New Roman"/>
          <w:b/>
          <w:szCs w:val="21"/>
        </w:rPr>
        <w:t>症状加重，或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者</w:t>
      </w:r>
      <w:r>
        <w:rPr>
          <w:rFonts w:hint="default" w:ascii="Times New Roman" w:hAnsi="Times New Roman" w:eastAsia="宋体" w:cs="Times New Roman"/>
          <w:b/>
          <w:szCs w:val="21"/>
        </w:rPr>
        <w:t>出现新的症状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者</w:t>
      </w:r>
      <w:r>
        <w:rPr>
          <w:rFonts w:hint="default" w:ascii="Times New Roman" w:hAnsi="Times New Roman" w:eastAsia="宋体" w:cs="Times New Roman"/>
          <w:b/>
          <w:szCs w:val="21"/>
        </w:rPr>
        <w:t>，应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当</w:t>
      </w:r>
      <w:r>
        <w:rPr>
          <w:rFonts w:hint="default" w:ascii="Times New Roman" w:hAnsi="Times New Roman" w:eastAsia="宋体" w:cs="Times New Roman"/>
          <w:b/>
          <w:szCs w:val="21"/>
        </w:rPr>
        <w:t>去医院就诊。</w:t>
      </w:r>
    </w:p>
    <w:p w14:paraId="6D60D1FB">
      <w:pPr>
        <w:spacing w:line="300" w:lineRule="exact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11.本品含有人参、白芍，不宜与含藜芦、五灵脂的中药方剂或者成药同时服用。</w:t>
      </w:r>
    </w:p>
    <w:p w14:paraId="221E6D99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12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过敏体质者慎用。</w:t>
      </w:r>
    </w:p>
    <w:p w14:paraId="2D1326B6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本品性状发生改变时禁止使用。</w:t>
      </w:r>
    </w:p>
    <w:p w14:paraId="7AF72477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请将本品放在儿童不能接触的地方。</w:t>
      </w:r>
    </w:p>
    <w:p w14:paraId="28A84B4F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如正在使用其他药品，使用本品前请咨询医师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或者药师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6717D25D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药物相互作用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zCs w:val="21"/>
        </w:rPr>
        <w:t>如与其他药物同时使用可能会发</w:t>
      </w:r>
      <w:r>
        <w:rPr>
          <w:rFonts w:hint="eastAsia" w:ascii="Times New Roman" w:hAnsi="Times New Roman" w:eastAsia="宋体" w:cs="Times New Roman"/>
          <w:szCs w:val="21"/>
        </w:rPr>
        <w:t>生药物相互作用，详情请咨询医师或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者</w:t>
      </w:r>
      <w:r>
        <w:rPr>
          <w:rFonts w:hint="eastAsia" w:ascii="Times New Roman" w:hAnsi="Times New Roman" w:eastAsia="宋体" w:cs="Times New Roman"/>
          <w:szCs w:val="21"/>
        </w:rPr>
        <w:t>药师。</w:t>
      </w:r>
    </w:p>
    <w:p w14:paraId="38A8F810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贮藏</w:t>
      </w:r>
      <w:r>
        <w:rPr>
          <w:rFonts w:ascii="Times New Roman" w:hAnsi="Times New Roman" w:eastAsia="宋体" w:cs="Times New Roman"/>
        </w:rPr>
        <w:t xml:space="preserve">]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包装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有效期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执行标准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批准文号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说明书修订日期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药品上市许可持有人</w:t>
      </w:r>
      <w:r>
        <w:rPr>
          <w:rFonts w:ascii="Times New Roman" w:hAnsi="Times New Roman" w:eastAsia="宋体" w:cs="Times New Roman"/>
        </w:rPr>
        <w:t>]</w:t>
      </w:r>
    </w:p>
    <w:p w14:paraId="25F866A4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名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hint="eastAsia" w:ascii="Times New Roman" w:hAnsi="Times New Roman" w:eastAsia="宋体" w:cs="Times New Roman"/>
        </w:rPr>
        <w:t>称：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注册地址：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邮政编码：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电话号码：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传真号码：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网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hint="eastAsia" w:ascii="Times New Roman" w:hAnsi="Times New Roman" w:eastAsia="宋体" w:cs="Times New Roman"/>
        </w:rPr>
        <w:t>址：</w:t>
      </w:r>
    </w:p>
    <w:p w14:paraId="63BC6B47">
      <w:pPr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生产企业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企业名称：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生产地址：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  <w:b/>
          <w:bCs/>
        </w:rPr>
        <w:t>如有问题可与药品上市许可持有人联系</w:t>
      </w:r>
    </w:p>
    <w:p w14:paraId="067DF106">
      <w:pPr>
        <w:rPr>
          <w:rFonts w:hint="eastAsia" w:ascii="Times New Roman" w:hAnsi="Times New Roman" w:eastAsia="宋体" w:cs="Times New Roman"/>
          <w:b/>
          <w:bCs/>
          <w:lang w:eastAsia="zh-CN"/>
        </w:rPr>
      </w:pPr>
    </w:p>
    <w:p w14:paraId="3FD2BAAB">
      <w:pPr>
        <w:rPr>
          <w:rFonts w:hint="eastAsia" w:ascii="Times New Roman" w:hAnsi="Times New Roman" w:eastAsia="宋体" w:cs="Times New Roman"/>
          <w:b/>
          <w:bCs/>
          <w:lang w:eastAsia="zh-CN"/>
        </w:rPr>
      </w:pPr>
    </w:p>
    <w:p w14:paraId="778EA0B9">
      <w:pPr>
        <w:rPr>
          <w:rFonts w:hint="eastAsia" w:ascii="Times New Roman" w:hAnsi="Times New Roman" w:eastAsia="宋体" w:cs="Times New Roman"/>
          <w:b/>
          <w:bCs/>
          <w:lang w:eastAsia="zh-CN"/>
        </w:rPr>
      </w:pPr>
    </w:p>
    <w:p w14:paraId="0E849EB5">
      <w:pPr>
        <w:rPr>
          <w:rFonts w:hint="eastAsia" w:ascii="Times New Roman" w:hAnsi="Times New Roman" w:eastAsia="宋体" w:cs="Times New Roman"/>
          <w:b/>
          <w:bCs/>
          <w:lang w:eastAsia="zh-CN"/>
        </w:rPr>
      </w:pPr>
    </w:p>
    <w:p w14:paraId="65A94D75"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lang w:eastAsia="zh-CN"/>
        </w:rPr>
        <w:br w:type="page"/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复方太子参口服液</w:t>
      </w:r>
    </w:p>
    <w:p w14:paraId="649BEF6A">
      <w:pPr>
        <w:keepNext/>
        <w:keepLines/>
        <w:spacing w:line="540" w:lineRule="exact"/>
        <w:jc w:val="center"/>
        <w:outlineLvl w:val="1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21"/>
          <w:lang w:eastAsia="zh-CN"/>
        </w:rPr>
        <w:t>复方太子参口服液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t>说明书</w:t>
      </w:r>
    </w:p>
    <w:p w14:paraId="72F46D1E">
      <w:pPr>
        <w:spacing w:line="300" w:lineRule="exact"/>
        <w:jc w:val="center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请仔细阅读说明书并按说明使用或</w:t>
      </w:r>
      <w:r>
        <w:rPr>
          <w:rFonts w:hint="eastAsia" w:ascii="宋体" w:hAnsi="宋体" w:eastAsia="宋体" w:cs="Times New Roman"/>
          <w:b/>
          <w:lang w:eastAsia="zh-CN"/>
        </w:rPr>
        <w:t>者</w:t>
      </w:r>
      <w:r>
        <w:rPr>
          <w:rFonts w:hint="eastAsia" w:ascii="宋体" w:hAnsi="宋体" w:eastAsia="宋体" w:cs="Times New Roman"/>
          <w:b/>
        </w:rPr>
        <w:t>在药师指导下购买和使用</w:t>
      </w:r>
    </w:p>
    <w:p w14:paraId="1FF315A2">
      <w:pPr>
        <w:spacing w:line="30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5837140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eastAsia" w:ascii="Times New Roman" w:hAnsi="Times New Roman" w:eastAsia="宋体" w:cs="Times New Roman"/>
          <w:szCs w:val="21"/>
        </w:rPr>
        <w:t>药品名称</w:t>
      </w:r>
      <w:r>
        <w:rPr>
          <w:rFonts w:ascii="Times New Roman" w:hAnsi="Times New Roman" w:eastAsia="宋体" w:cs="Times New Roman"/>
          <w:szCs w:val="21"/>
        </w:rPr>
        <w:t>]</w:t>
      </w:r>
    </w:p>
    <w:p w14:paraId="2ADDB714">
      <w:pPr>
        <w:spacing w:line="280" w:lineRule="exac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Cs w:val="21"/>
        </w:rPr>
        <w:t>通用名称：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复方太子参口服液</w:t>
      </w:r>
    </w:p>
    <w:p w14:paraId="19BBF49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汉语拼音：</w:t>
      </w:r>
    </w:p>
    <w:p w14:paraId="5C57143B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成份</w:t>
      </w:r>
      <w:r>
        <w:rPr>
          <w:rFonts w:ascii="Times New Roman" w:hAnsi="Times New Roman" w:eastAsia="宋体" w:cs="Times New Roman"/>
          <w:szCs w:val="21"/>
        </w:rPr>
        <w:t>]</w:t>
      </w:r>
    </w:p>
    <w:p w14:paraId="5A0FED96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性状</w:t>
      </w:r>
      <w:r>
        <w:rPr>
          <w:rFonts w:ascii="Times New Roman" w:hAnsi="Times New Roman" w:eastAsia="宋体" w:cs="Times New Roman"/>
          <w:szCs w:val="21"/>
        </w:rPr>
        <w:t>]</w:t>
      </w:r>
    </w:p>
    <w:p w14:paraId="7EC3A0BD">
      <w:pPr>
        <w:spacing w:line="280" w:lineRule="exac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功能主治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益气生津，健脾消食。适用于小儿气阴两虚的厌食、泄泻及缺铁性贫血。</w:t>
      </w:r>
    </w:p>
    <w:p w14:paraId="52D70BD2">
      <w:pPr>
        <w:spacing w:line="280" w:lineRule="exac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</w:rPr>
        <w:t>[规格]每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支</w:t>
      </w:r>
      <w:r>
        <w:rPr>
          <w:rFonts w:hint="default" w:ascii="Times New Roman" w:hAnsi="Times New Roman" w:eastAsia="宋体" w:cs="Times New Roman"/>
          <w:szCs w:val="21"/>
        </w:rPr>
        <w:t>装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10毫升（含硫酸锌0.55毫克、葡萄糖酸钙50毫克、枸橼酸铁铵0.66毫克）</w:t>
      </w:r>
    </w:p>
    <w:p w14:paraId="2117A88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用法用量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口服</w:t>
      </w:r>
      <w:r>
        <w:rPr>
          <w:rFonts w:hint="default" w:ascii="Times New Roman" w:hAnsi="Times New Roman" w:eastAsia="宋体" w:cs="Times New Roman"/>
          <w:szCs w:val="21"/>
        </w:rPr>
        <w:t>。一次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10毫升</w: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一日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2次，服前摇匀</w:t>
      </w:r>
      <w:r>
        <w:rPr>
          <w:rFonts w:hint="default" w:ascii="Times New Roman" w:hAnsi="Times New Roman" w:eastAsia="宋体" w:cs="Times New Roman"/>
          <w:szCs w:val="21"/>
        </w:rPr>
        <w:t>。</w:t>
      </w:r>
    </w:p>
    <w:p w14:paraId="6920D2A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不良反应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zCs w:val="21"/>
        </w:rPr>
        <w:t>监测数据显示，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复方太子参制剂可见以下不良反应报告：恶心、呕吐、腹痛、便秘、皮疹、发热等。</w:t>
      </w:r>
    </w:p>
    <w:p w14:paraId="2AFA6BDF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[</w:t>
      </w:r>
      <w:r>
        <w:rPr>
          <w:rFonts w:hint="default" w:ascii="Times New Roman" w:hAnsi="Times New Roman" w:eastAsia="宋体" w:cs="Times New Roman"/>
          <w:b/>
          <w:bCs/>
          <w:szCs w:val="21"/>
        </w:rPr>
        <w:t>禁忌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对本品及所含成份过敏者禁用。</w:t>
      </w:r>
    </w:p>
    <w:p w14:paraId="2F48AE83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[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注意事项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</w:p>
    <w:p w14:paraId="46043F59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忌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食</w:t>
      </w:r>
      <w:r>
        <w:rPr>
          <w:rFonts w:hint="default" w:ascii="Times New Roman" w:hAnsi="Times New Roman" w:eastAsia="宋体" w:cs="Times New Roman"/>
          <w:b/>
          <w:bCs/>
          <w:szCs w:val="21"/>
        </w:rPr>
        <w:t>生冷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油腻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及不易消化</w:t>
      </w:r>
      <w:r>
        <w:rPr>
          <w:rFonts w:hint="default" w:ascii="Times New Roman" w:hAnsi="Times New Roman" w:eastAsia="宋体" w:cs="Times New Roman"/>
          <w:b/>
          <w:bCs/>
          <w:szCs w:val="21"/>
        </w:rPr>
        <w:t>食物。</w:t>
      </w:r>
    </w:p>
    <w:p w14:paraId="4E970E1B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婴儿应当在医师指导下服用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7C430800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感冒发热时不宜服用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49A0719D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4.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本品宜饭后服用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57DC6B61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5.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本品含蔗糖，糖尿病患儿慎用，且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应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当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在医师指导下服用。</w:t>
      </w:r>
    </w:p>
    <w:p w14:paraId="65E023CD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6.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按照用法用量服用，本品不宜长期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服用。</w:t>
      </w:r>
    </w:p>
    <w:p w14:paraId="281039F1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7.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长期厌食、体弱消瘦者，或者腹泻严重者应当去医院就诊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0123BFD9">
      <w:pPr>
        <w:spacing w:line="0" w:lineRule="atLeast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8.中重度缺铁性贫血者应当去医院就诊。</w:t>
      </w:r>
    </w:p>
    <w:p w14:paraId="641A7E31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/>
          <w:szCs w:val="21"/>
        </w:rPr>
        <w:t>服药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7天</w:t>
      </w:r>
      <w:r>
        <w:rPr>
          <w:rFonts w:hint="default" w:ascii="Times New Roman" w:hAnsi="Times New Roman" w:eastAsia="宋体" w:cs="Times New Roman"/>
          <w:b/>
          <w:szCs w:val="21"/>
        </w:rPr>
        <w:t>症状无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缓解</w:t>
      </w:r>
      <w:r>
        <w:rPr>
          <w:rFonts w:hint="default" w:ascii="Times New Roman" w:hAnsi="Times New Roman" w:eastAsia="宋体" w:cs="Times New Roman"/>
          <w:b/>
          <w:szCs w:val="21"/>
        </w:rPr>
        <w:t>，或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者</w:t>
      </w:r>
      <w:r>
        <w:rPr>
          <w:rFonts w:hint="default" w:ascii="Times New Roman" w:hAnsi="Times New Roman" w:eastAsia="宋体" w:cs="Times New Roman"/>
          <w:b/>
          <w:szCs w:val="21"/>
        </w:rPr>
        <w:t>出现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其他</w:t>
      </w:r>
      <w:r>
        <w:rPr>
          <w:rFonts w:hint="default" w:ascii="Times New Roman" w:hAnsi="Times New Roman" w:eastAsia="宋体" w:cs="Times New Roman"/>
          <w:b/>
          <w:szCs w:val="21"/>
        </w:rPr>
        <w:t>症状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者</w:t>
      </w:r>
      <w:r>
        <w:rPr>
          <w:rFonts w:hint="default" w:ascii="Times New Roman" w:hAnsi="Times New Roman" w:eastAsia="宋体" w:cs="Times New Roman"/>
          <w:b/>
          <w:szCs w:val="21"/>
        </w:rPr>
        <w:t>，应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当</w:t>
      </w:r>
      <w:r>
        <w:rPr>
          <w:rFonts w:hint="default" w:ascii="Times New Roman" w:hAnsi="Times New Roman" w:eastAsia="宋体" w:cs="Times New Roman"/>
          <w:b/>
          <w:szCs w:val="21"/>
        </w:rPr>
        <w:t>去医院就诊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。</w:t>
      </w:r>
    </w:p>
    <w:p w14:paraId="7B119E10">
      <w:pPr>
        <w:spacing w:line="300" w:lineRule="exact"/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10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本品含有太子参，不宜与含藜芦的中药方剂或者成药同时服用</w:t>
      </w:r>
      <w:r>
        <w:rPr>
          <w:rFonts w:hint="default" w:ascii="Times New Roman" w:hAnsi="Times New Roman" w:eastAsia="宋体" w:cs="Times New Roman"/>
          <w:b/>
          <w:szCs w:val="21"/>
        </w:rPr>
        <w:t>。</w:t>
      </w:r>
    </w:p>
    <w:p w14:paraId="645AAE8E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过敏体质者慎用。</w:t>
      </w:r>
    </w:p>
    <w:p w14:paraId="16464D4D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本品性状发生改变时禁止使用。</w:t>
      </w:r>
    </w:p>
    <w:p w14:paraId="1F58393E">
      <w:pPr>
        <w:spacing w:line="0" w:lineRule="atLeast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13.儿童必须在成人监护下使用。</w:t>
      </w:r>
    </w:p>
    <w:p w14:paraId="425BAE72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请将本品放在儿童不能接触的地方。</w:t>
      </w:r>
    </w:p>
    <w:p w14:paraId="50BADA7A">
      <w:pPr>
        <w:spacing w:line="0" w:lineRule="atLeas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如正在使用其他药品，使用本品前请咨询医师</w:t>
      </w:r>
      <w:r>
        <w:rPr>
          <w:rFonts w:hint="eastAsia" w:ascii="Times New Roman" w:hAnsi="Times New Roman" w:eastAsia="宋体" w:cs="Times New Roman"/>
          <w:b/>
          <w:bCs/>
          <w:szCs w:val="21"/>
          <w:lang w:eastAsia="zh-CN"/>
        </w:rPr>
        <w:t>或者药师</w:t>
      </w:r>
      <w:r>
        <w:rPr>
          <w:rFonts w:hint="default" w:ascii="Times New Roman" w:hAnsi="Times New Roman" w:eastAsia="宋体" w:cs="Times New Roman"/>
          <w:b/>
          <w:bCs/>
          <w:szCs w:val="21"/>
        </w:rPr>
        <w:t>。</w:t>
      </w:r>
    </w:p>
    <w:p w14:paraId="5AFC8165">
      <w:pPr>
        <w:spacing w:line="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药物相互作用</w:t>
      </w:r>
      <w:r>
        <w:rPr>
          <w:rFonts w:ascii="Times New Roman" w:hAnsi="Times New Roman" w:eastAsia="宋体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zCs w:val="21"/>
        </w:rPr>
        <w:t>如与其他药物同时使用可能会发</w:t>
      </w:r>
      <w:r>
        <w:rPr>
          <w:rFonts w:hint="eastAsia" w:ascii="Times New Roman" w:hAnsi="Times New Roman" w:eastAsia="宋体" w:cs="Times New Roman"/>
          <w:szCs w:val="21"/>
        </w:rPr>
        <w:t>生药物相互作用，详情请咨询医师或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者</w:t>
      </w:r>
      <w:r>
        <w:rPr>
          <w:rFonts w:hint="eastAsia" w:ascii="Times New Roman" w:hAnsi="Times New Roman" w:eastAsia="宋体" w:cs="Times New Roman"/>
          <w:szCs w:val="21"/>
        </w:rPr>
        <w:t>药师。</w:t>
      </w:r>
    </w:p>
    <w:p w14:paraId="2169B5F9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贮藏</w:t>
      </w:r>
      <w:r>
        <w:rPr>
          <w:rFonts w:ascii="Times New Roman" w:hAnsi="Times New Roman" w:eastAsia="宋体" w:cs="Times New Roman"/>
        </w:rPr>
        <w:t xml:space="preserve">]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包装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有效期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执行标准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批准文号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说明书修订日期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药品上市许可持有人</w:t>
      </w:r>
      <w:r>
        <w:rPr>
          <w:rFonts w:ascii="Times New Roman" w:hAnsi="Times New Roman" w:eastAsia="宋体" w:cs="Times New Roman"/>
        </w:rPr>
        <w:t>]</w:t>
      </w:r>
    </w:p>
    <w:p w14:paraId="7E8DB7C4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名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hint="eastAsia" w:ascii="Times New Roman" w:hAnsi="Times New Roman" w:eastAsia="宋体" w:cs="Times New Roman"/>
        </w:rPr>
        <w:t>称：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注册地址：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邮政编码：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电话号码：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传真号码：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网</w:t>
      </w:r>
      <w:r>
        <w:rPr>
          <w:rFonts w:ascii="Times New Roman" w:hAnsi="Times New Roman" w:eastAsia="宋体" w:cs="Times New Roman"/>
        </w:rPr>
        <w:t xml:space="preserve">    </w:t>
      </w:r>
      <w:r>
        <w:rPr>
          <w:rFonts w:hint="eastAsia" w:ascii="Times New Roman" w:hAnsi="Times New Roman" w:eastAsia="宋体" w:cs="Times New Roman"/>
        </w:rPr>
        <w:t>址：</w:t>
      </w:r>
    </w:p>
    <w:p w14:paraId="5FA84DC8">
      <w:pPr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eastAsia" w:ascii="Times New Roman" w:hAnsi="Times New Roman" w:eastAsia="宋体" w:cs="Times New Roman"/>
        </w:rPr>
        <w:t>生产企业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企业名称：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生产地址：</w:t>
      </w:r>
      <w:r>
        <w:rPr>
          <w:rFonts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  <w:b/>
          <w:bCs/>
        </w:rPr>
        <w:t>如有问题可与药品上市许可持有人联系</w:t>
      </w:r>
    </w:p>
    <w:p w14:paraId="3A2097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8317F"/>
    <w:rsid w:val="5C6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2025-04-03T08:44:00Z</dcterms:created>
  <dc:creator>新祺</dc:creator>
  <cp:lastModifiedBy>新祺</cp:lastModifiedBy>
  <dcterms:modified xsi:type="dcterms:W3CDTF">2025-04-03T08:44:22Z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182F25618BBE4876894950A389640908_11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