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华文仿宋" w:hAnsi="华文仿宋" w:eastAsia="华文仿宋"/>
          <w:color w:val="000000"/>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ascii="华文仿宋" w:hAnsi="华文仿宋" w:eastAsia="华文仿宋"/>
          <w:color w:val="000000"/>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ascii="华文仿宋" w:hAnsi="华文仿宋" w:eastAsia="华文仿宋"/>
          <w:color w:val="000000"/>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000000"/>
          <w:sz w:val="44"/>
          <w:szCs w:val="44"/>
        </w:rPr>
      </w:pPr>
      <w:r>
        <w:rPr>
          <w:rFonts w:hint="eastAsia" w:ascii="微软雅黑" w:hAnsi="微软雅黑" w:eastAsia="微软雅黑" w:cs="微软雅黑"/>
          <w:color w:val="000000"/>
          <w:sz w:val="44"/>
          <w:szCs w:val="44"/>
          <w:lang w:val="en-US" w:eastAsia="zh-CN"/>
        </w:rPr>
        <w:t>2025年</w:t>
      </w:r>
      <w:r>
        <w:rPr>
          <w:rFonts w:hint="eastAsia" w:ascii="微软雅黑" w:hAnsi="微软雅黑" w:eastAsia="微软雅黑" w:cs="微软雅黑"/>
          <w:color w:val="000000"/>
          <w:sz w:val="44"/>
          <w:szCs w:val="44"/>
          <w:lang w:eastAsia="zh-CN"/>
        </w:rPr>
        <w:t>广东省药品</w:t>
      </w:r>
      <w:r>
        <w:rPr>
          <w:rFonts w:hint="eastAsia" w:ascii="微软雅黑" w:hAnsi="微软雅黑" w:eastAsia="微软雅黑" w:cs="微软雅黑"/>
          <w:color w:val="000000"/>
          <w:sz w:val="44"/>
          <w:szCs w:val="44"/>
        </w:rPr>
        <w:t>监督管理局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000000"/>
          <w:sz w:val="44"/>
          <w:szCs w:val="44"/>
        </w:rPr>
      </w:pPr>
      <w:r>
        <w:rPr>
          <w:rFonts w:hint="eastAsia" w:ascii="微软雅黑" w:hAnsi="微软雅黑" w:eastAsia="微软雅黑" w:cs="微软雅黑"/>
          <w:color w:val="000000"/>
          <w:sz w:val="44"/>
          <w:szCs w:val="44"/>
        </w:rPr>
        <w:t>执业药师继续教育施教机构遴选方案</w:t>
      </w:r>
    </w:p>
    <w:p>
      <w:pPr>
        <w:keepNext w:val="0"/>
        <w:keepLines w:val="0"/>
        <w:pageBreakBefore w:val="0"/>
        <w:widowControl w:val="0"/>
        <w:kinsoku/>
        <w:wordWrap/>
        <w:overflowPunct/>
        <w:topLinePunct w:val="0"/>
        <w:autoSpaceDE/>
        <w:autoSpaceDN/>
        <w:bidi w:val="0"/>
        <w:adjustRightInd/>
        <w:snapToGrid/>
        <w:jc w:val="center"/>
        <w:textAlignment w:val="auto"/>
        <w:rPr>
          <w:rFonts w:ascii="华文仿宋" w:hAnsi="华文仿宋" w:eastAsia="华文仿宋"/>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20</w:t>
      </w:r>
      <w:r>
        <w:rPr>
          <w:rFonts w:hint="eastAsia" w:ascii="仿宋_GB2312" w:hAnsi="华文仿宋" w:eastAsia="仿宋_GB2312"/>
          <w:color w:val="000000"/>
          <w:sz w:val="32"/>
          <w:szCs w:val="32"/>
          <w:lang w:val="en-US" w:eastAsia="zh-CN"/>
        </w:rPr>
        <w:t>25</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val="en-US" w:eastAsia="zh-CN"/>
        </w:rPr>
        <w:t>4</w:t>
      </w:r>
      <w:r>
        <w:rPr>
          <w:rFonts w:hint="eastAsia" w:ascii="仿宋_GB2312" w:hAnsi="华文仿宋" w:eastAsia="仿宋_GB2312"/>
          <w:color w:val="000000"/>
          <w:sz w:val="32"/>
          <w:szCs w:val="32"/>
        </w:rPr>
        <w:t>月</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ascii="楷体" w:hAnsi="楷体" w:eastAsia="楷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color w:val="000000"/>
          <w:sz w:val="44"/>
          <w:szCs w:val="44"/>
        </w:rPr>
      </w:pPr>
      <w:r>
        <w:rPr>
          <w:rFonts w:hint="eastAsia" w:ascii="楷体" w:hAnsi="楷体" w:eastAsia="楷体"/>
          <w:color w:val="000000"/>
          <w:sz w:val="44"/>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ascii="楷体" w:hAnsi="楷体" w:eastAsia="楷体"/>
          <w:color w:val="000000"/>
          <w:sz w:val="44"/>
          <w:szCs w:val="44"/>
        </w:rPr>
      </w:pPr>
      <w:r>
        <w:rPr>
          <w:rFonts w:hint="eastAsia" w:ascii="楷体" w:hAnsi="楷体" w:eastAsia="楷体"/>
          <w:color w:val="000000"/>
          <w:sz w:val="44"/>
          <w:szCs w:val="44"/>
        </w:rPr>
        <w:t>目 录</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一</w:t>
      </w:r>
      <w:r>
        <w:rPr>
          <w:rFonts w:hint="eastAsia" w:ascii="楷体" w:hAnsi="楷体" w:eastAsia="楷体"/>
          <w:color w:val="000000"/>
          <w:sz w:val="32"/>
          <w:szCs w:val="32"/>
          <w:lang w:val="en-US" w:eastAsia="zh-CN"/>
        </w:rPr>
        <w:t>、</w:t>
      </w:r>
      <w:r>
        <w:rPr>
          <w:rFonts w:hint="eastAsia" w:ascii="楷体" w:hAnsi="楷体" w:eastAsia="楷体"/>
          <w:color w:val="000000"/>
          <w:sz w:val="32"/>
          <w:szCs w:val="32"/>
        </w:rPr>
        <w:t>总则</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二</w:t>
      </w:r>
      <w:r>
        <w:rPr>
          <w:rFonts w:hint="eastAsia" w:ascii="楷体" w:hAnsi="楷体" w:eastAsia="楷体"/>
          <w:color w:val="000000"/>
          <w:sz w:val="32"/>
          <w:szCs w:val="32"/>
          <w:lang w:val="en-US" w:eastAsia="zh-CN"/>
        </w:rPr>
        <w:t>、</w:t>
      </w:r>
      <w:r>
        <w:rPr>
          <w:rFonts w:hint="eastAsia" w:ascii="楷体" w:hAnsi="楷体" w:eastAsia="楷体"/>
          <w:color w:val="000000"/>
          <w:sz w:val="32"/>
          <w:szCs w:val="32"/>
        </w:rPr>
        <w:t>申报对象</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三</w:t>
      </w:r>
      <w:r>
        <w:rPr>
          <w:rFonts w:hint="eastAsia" w:ascii="楷体" w:hAnsi="楷体" w:eastAsia="楷体"/>
          <w:color w:val="000000"/>
          <w:sz w:val="32"/>
          <w:szCs w:val="32"/>
          <w:lang w:val="en-US" w:eastAsia="zh-CN"/>
        </w:rPr>
        <w:t>、</w:t>
      </w:r>
      <w:r>
        <w:rPr>
          <w:rFonts w:hint="eastAsia" w:ascii="楷体" w:hAnsi="楷体" w:eastAsia="楷体"/>
          <w:color w:val="000000"/>
          <w:sz w:val="32"/>
          <w:szCs w:val="32"/>
        </w:rPr>
        <w:t>申报受理部门</w:t>
      </w:r>
      <w:r>
        <w:rPr>
          <w:rFonts w:hint="eastAsia" w:ascii="楷体" w:hAnsi="楷体" w:eastAsia="楷体"/>
          <w:color w:val="000000"/>
          <w:sz w:val="32"/>
          <w:szCs w:val="32"/>
          <w:lang w:eastAsia="zh-CN"/>
        </w:rPr>
        <w:t>和</w:t>
      </w:r>
      <w:r>
        <w:rPr>
          <w:rFonts w:hint="eastAsia" w:ascii="楷体" w:hAnsi="楷体" w:eastAsia="楷体"/>
          <w:color w:val="000000"/>
          <w:sz w:val="32"/>
          <w:szCs w:val="32"/>
        </w:rPr>
        <w:t>申报</w:t>
      </w:r>
      <w:r>
        <w:rPr>
          <w:rFonts w:hint="eastAsia" w:ascii="楷体" w:hAnsi="楷体" w:eastAsia="楷体"/>
          <w:color w:val="000000"/>
          <w:sz w:val="32"/>
          <w:szCs w:val="32"/>
          <w:lang w:eastAsia="zh-CN"/>
        </w:rPr>
        <w:t>流程</w:t>
      </w:r>
      <w:r>
        <w:rPr>
          <w:rFonts w:hint="eastAsia" w:ascii="楷体" w:hAnsi="楷体" w:eastAsia="楷体"/>
          <w:color w:val="000000"/>
          <w:sz w:val="32"/>
          <w:szCs w:val="32"/>
        </w:rPr>
        <w:t>、</w:t>
      </w:r>
      <w:r>
        <w:rPr>
          <w:rFonts w:hint="eastAsia" w:ascii="楷体" w:hAnsi="楷体" w:eastAsia="楷体"/>
          <w:color w:val="000000"/>
          <w:sz w:val="32"/>
          <w:szCs w:val="32"/>
          <w:lang w:eastAsia="zh-CN"/>
        </w:rPr>
        <w:t>要求</w:t>
      </w:r>
    </w:p>
    <w:p>
      <w:pPr>
        <w:keepNext w:val="0"/>
        <w:keepLines w:val="0"/>
        <w:pageBreakBefore w:val="0"/>
        <w:widowControl w:val="0"/>
        <w:kinsoku/>
        <w:wordWrap/>
        <w:overflowPunct/>
        <w:topLinePunct w:val="0"/>
        <w:autoSpaceDE/>
        <w:autoSpaceDN/>
        <w:bidi w:val="0"/>
        <w:adjustRightInd/>
        <w:snapToGrid/>
        <w:textAlignment w:val="auto"/>
        <w:rPr>
          <w:rFonts w:ascii="楷体" w:hAnsi="楷体" w:eastAsia="楷体"/>
          <w:color w:val="000000"/>
          <w:sz w:val="32"/>
          <w:szCs w:val="32"/>
        </w:rPr>
      </w:pPr>
      <w:r>
        <w:rPr>
          <w:rFonts w:hint="eastAsia" w:ascii="楷体" w:hAnsi="楷体" w:eastAsia="楷体"/>
          <w:color w:val="000000"/>
          <w:sz w:val="32"/>
          <w:szCs w:val="32"/>
        </w:rPr>
        <w:t>四</w:t>
      </w:r>
      <w:r>
        <w:rPr>
          <w:rFonts w:hint="eastAsia" w:ascii="楷体" w:hAnsi="楷体" w:eastAsia="楷体"/>
          <w:color w:val="000000"/>
          <w:sz w:val="32"/>
          <w:szCs w:val="32"/>
          <w:lang w:val="en-US" w:eastAsia="zh-CN"/>
        </w:rPr>
        <w:t>、</w:t>
      </w:r>
      <w:r>
        <w:rPr>
          <w:rFonts w:hint="eastAsia" w:ascii="楷体" w:hAnsi="楷体" w:eastAsia="楷体"/>
          <w:color w:val="000000"/>
          <w:sz w:val="32"/>
          <w:szCs w:val="32"/>
        </w:rPr>
        <w:t>申请所需提供的相关</w:t>
      </w:r>
      <w:r>
        <w:rPr>
          <w:rFonts w:hint="eastAsia" w:ascii="楷体" w:hAnsi="楷体" w:eastAsia="楷体"/>
          <w:color w:val="000000"/>
          <w:sz w:val="32"/>
          <w:szCs w:val="32"/>
          <w:lang w:eastAsia="zh-CN"/>
        </w:rPr>
        <w:t>材</w:t>
      </w:r>
      <w:r>
        <w:rPr>
          <w:rFonts w:hint="eastAsia" w:ascii="楷体" w:hAnsi="楷体" w:eastAsia="楷体"/>
          <w:color w:val="000000"/>
          <w:sz w:val="32"/>
          <w:szCs w:val="32"/>
        </w:rPr>
        <w:t>料、证明</w:t>
      </w:r>
    </w:p>
    <w:p>
      <w:pPr>
        <w:keepNext w:val="0"/>
        <w:keepLines w:val="0"/>
        <w:pageBreakBefore w:val="0"/>
        <w:widowControl w:val="0"/>
        <w:kinsoku/>
        <w:wordWrap/>
        <w:overflowPunct/>
        <w:topLinePunct w:val="0"/>
        <w:autoSpaceDE/>
        <w:autoSpaceDN/>
        <w:bidi w:val="0"/>
        <w:adjustRightInd/>
        <w:snapToGrid/>
        <w:textAlignment w:val="auto"/>
        <w:rPr>
          <w:rFonts w:hint="eastAsia" w:ascii="楷体" w:hAnsi="楷体" w:eastAsia="楷体"/>
          <w:color w:val="000000"/>
          <w:sz w:val="32"/>
          <w:szCs w:val="32"/>
        </w:rPr>
      </w:pPr>
      <w:r>
        <w:rPr>
          <w:rFonts w:hint="eastAsia" w:ascii="楷体" w:hAnsi="楷体" w:eastAsia="楷体"/>
          <w:color w:val="000000"/>
          <w:sz w:val="32"/>
          <w:szCs w:val="32"/>
        </w:rPr>
        <w:t>五</w:t>
      </w:r>
      <w:r>
        <w:rPr>
          <w:rFonts w:hint="eastAsia" w:ascii="楷体" w:hAnsi="楷体" w:eastAsia="楷体"/>
          <w:color w:val="000000"/>
          <w:sz w:val="32"/>
          <w:szCs w:val="32"/>
          <w:lang w:val="en-US" w:eastAsia="zh-CN"/>
        </w:rPr>
        <w:t>、</w:t>
      </w:r>
      <w:r>
        <w:rPr>
          <w:rFonts w:hint="eastAsia" w:ascii="楷体" w:hAnsi="楷体" w:eastAsia="楷体"/>
          <w:color w:val="000000"/>
          <w:sz w:val="32"/>
          <w:szCs w:val="32"/>
        </w:rPr>
        <w:t>申报</w:t>
      </w:r>
      <w:r>
        <w:rPr>
          <w:rFonts w:hint="eastAsia" w:ascii="楷体" w:hAnsi="楷体" w:eastAsia="楷体"/>
          <w:color w:val="000000"/>
          <w:sz w:val="32"/>
          <w:szCs w:val="32"/>
          <w:lang w:eastAsia="zh-CN"/>
        </w:rPr>
        <w:t>材</w:t>
      </w:r>
      <w:r>
        <w:rPr>
          <w:rFonts w:hint="eastAsia" w:ascii="楷体" w:hAnsi="楷体" w:eastAsia="楷体"/>
          <w:color w:val="000000"/>
          <w:sz w:val="32"/>
          <w:szCs w:val="32"/>
        </w:rPr>
        <w:t>料审查及公告</w:t>
      </w: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olor w:val="000000"/>
          <w:sz w:val="32"/>
          <w:szCs w:val="32"/>
        </w:rPr>
        <w:sectPr>
          <w:pgSz w:w="11900" w:h="16840"/>
          <w:pgMar w:top="1361" w:right="1701" w:bottom="1418" w:left="1701" w:header="851" w:footer="992" w:gutter="0"/>
          <w:pgBorders>
            <w:top w:val="none" w:sz="0" w:space="0"/>
            <w:left w:val="none" w:sz="0" w:space="0"/>
            <w:bottom w:val="none" w:sz="0" w:space="0"/>
            <w:right w:val="none" w:sz="0" w:space="0"/>
          </w:pgBorders>
          <w:cols w:space="425" w:num="1"/>
          <w:docGrid w:type="lines" w:linePitch="326"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olor w:val="000000"/>
          <w:sz w:val="32"/>
          <w:szCs w:val="32"/>
        </w:rPr>
      </w:pPr>
      <w:r>
        <w:rPr>
          <w:rFonts w:hint="eastAsia" w:ascii="黑体" w:hAnsi="黑体" w:eastAsia="黑体"/>
          <w:color w:val="000000"/>
          <w:sz w:val="32"/>
          <w:szCs w:val="32"/>
        </w:rPr>
        <w:t>一、总则</w:t>
      </w:r>
    </w:p>
    <w:p>
      <w:pPr>
        <w:pStyle w:val="2"/>
        <w:keepNext w:val="0"/>
        <w:keepLines w:val="0"/>
        <w:widowControl/>
        <w:suppressLineNumbers w:val="0"/>
        <w:shd w:val="clear" w:fill="FFFFFF"/>
        <w:spacing w:after="0" w:afterAutospacing="0" w:line="560" w:lineRule="exact"/>
        <w:ind w:left="0" w:firstLine="640" w:firstLineChars="200"/>
        <w:rPr>
          <w:rFonts w:hint="eastAsia" w:ascii="仿宋" w:hAnsi="仿宋" w:eastAsia="仿宋" w:cs="仿宋"/>
          <w:color w:val="auto"/>
          <w:sz w:val="32"/>
          <w:szCs w:val="32"/>
          <w:lang w:eastAsia="zh-CN"/>
        </w:rPr>
      </w:pPr>
      <w:r>
        <w:rPr>
          <w:rFonts w:hint="eastAsia" w:ascii="仿宋" w:hAnsi="仿宋" w:eastAsia="仿宋" w:cs="仿宋"/>
          <w:i w:val="0"/>
          <w:iCs w:val="0"/>
          <w:caps w:val="0"/>
          <w:color w:val="auto"/>
          <w:spacing w:val="0"/>
          <w:sz w:val="32"/>
          <w:szCs w:val="32"/>
          <w:shd w:val="clear" w:fill="FFFFFF"/>
          <w:lang w:bidi="ar-SA"/>
        </w:rPr>
        <w:t>自2021年我省实施施教机构遴选制度以来，通过建立健全遴选机制，全面规范了执业药师继续教育管理工作，有效保障了执业药师接受继续教育的合法权益。</w:t>
      </w:r>
      <w:r>
        <w:rPr>
          <w:rFonts w:hint="eastAsia" w:ascii="仿宋" w:hAnsi="仿宋" w:eastAsia="仿宋" w:cs="仿宋"/>
          <w:color w:val="auto"/>
          <w:sz w:val="32"/>
          <w:szCs w:val="32"/>
          <w:shd w:val="clear" w:fill="FFFFFF"/>
          <w:lang w:val="en-US" w:eastAsia="zh-CN"/>
        </w:rPr>
        <w:t>为进一步</w:t>
      </w:r>
      <w:r>
        <w:rPr>
          <w:rFonts w:hint="eastAsia" w:ascii="仿宋" w:hAnsi="仿宋" w:eastAsia="仿宋" w:cs="仿宋"/>
          <w:color w:val="auto"/>
          <w:sz w:val="32"/>
          <w:szCs w:val="32"/>
          <w:shd w:val="clear" w:fill="FFFFFF"/>
        </w:rPr>
        <w:t>巩固继续教育工作成果，</w:t>
      </w:r>
      <w:r>
        <w:rPr>
          <w:rFonts w:hint="eastAsia" w:ascii="仿宋" w:hAnsi="仿宋" w:eastAsia="仿宋" w:cs="仿宋"/>
          <w:color w:val="auto"/>
          <w:sz w:val="32"/>
          <w:szCs w:val="32"/>
          <w:shd w:val="clear" w:fill="FFFFFF"/>
          <w:lang w:val="en-US" w:eastAsia="zh-CN"/>
        </w:rPr>
        <w:t>切实</w:t>
      </w:r>
      <w:r>
        <w:rPr>
          <w:rFonts w:hint="eastAsia" w:ascii="仿宋" w:hAnsi="仿宋" w:eastAsia="仿宋" w:cs="仿宋"/>
          <w:color w:val="auto"/>
          <w:sz w:val="32"/>
          <w:szCs w:val="32"/>
          <w:shd w:val="clear" w:fill="FFFFFF"/>
        </w:rPr>
        <w:t>推动</w:t>
      </w:r>
      <w:r>
        <w:rPr>
          <w:rFonts w:hint="eastAsia" w:ascii="仿宋" w:hAnsi="仿宋" w:eastAsia="仿宋" w:cs="仿宋"/>
          <w:color w:val="auto"/>
          <w:sz w:val="32"/>
          <w:szCs w:val="32"/>
          <w:shd w:val="clear" w:fill="FFFFFF"/>
          <w:lang w:val="en-US" w:eastAsia="zh-CN"/>
        </w:rPr>
        <w:t>我</w:t>
      </w:r>
      <w:r>
        <w:rPr>
          <w:rFonts w:hint="eastAsia" w:ascii="仿宋" w:hAnsi="仿宋" w:eastAsia="仿宋" w:cs="仿宋"/>
          <w:color w:val="auto"/>
          <w:sz w:val="32"/>
          <w:szCs w:val="32"/>
          <w:shd w:val="clear" w:fill="FFFFFF"/>
        </w:rPr>
        <w:t>省执业药师继续教育工作高质量发展</w:t>
      </w:r>
      <w:r>
        <w:rPr>
          <w:rFonts w:hint="eastAsia" w:ascii="仿宋" w:hAnsi="仿宋" w:eastAsia="仿宋" w:cs="仿宋"/>
          <w:color w:val="auto"/>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根据</w:t>
      </w:r>
      <w:r>
        <w:rPr>
          <w:rFonts w:hint="eastAsia" w:ascii="仿宋" w:hAnsi="仿宋" w:eastAsia="仿宋" w:cs="仿宋"/>
          <w:color w:val="auto"/>
          <w:sz w:val="32"/>
          <w:szCs w:val="32"/>
          <w:shd w:val="clear" w:fill="FFFFFF"/>
        </w:rPr>
        <w:t>《中华人民共和国药品管理法》</w:t>
      </w:r>
      <w:r>
        <w:rPr>
          <w:rFonts w:hint="eastAsia" w:ascii="仿宋" w:hAnsi="仿宋" w:eastAsia="仿宋" w:cs="仿宋"/>
          <w:i w:val="0"/>
          <w:iCs w:val="0"/>
          <w:caps w:val="0"/>
          <w:color w:val="auto"/>
          <w:spacing w:val="0"/>
          <w:sz w:val="32"/>
          <w:szCs w:val="32"/>
          <w:shd w:val="clear" w:fill="FFFFFF"/>
        </w:rPr>
        <w:t>《专业技术人员继续教育规定》</w:t>
      </w:r>
      <w:r>
        <w:rPr>
          <w:rFonts w:hint="eastAsia" w:ascii="仿宋" w:hAnsi="仿宋" w:eastAsia="仿宋" w:cs="仿宋"/>
          <w:i w:val="0"/>
          <w:iCs w:val="0"/>
          <w:caps w:val="0"/>
          <w:color w:val="auto"/>
          <w:spacing w:val="0"/>
          <w:sz w:val="32"/>
          <w:szCs w:val="32"/>
          <w:shd w:val="clear" w:fill="FFFFFF"/>
          <w:lang w:val="en-US" w:eastAsia="zh-CN"/>
        </w:rPr>
        <w:t>及</w:t>
      </w:r>
      <w:r>
        <w:rPr>
          <w:rFonts w:hint="eastAsia" w:ascii="仿宋" w:hAnsi="仿宋" w:eastAsia="仿宋" w:cs="仿宋"/>
          <w:i w:val="0"/>
          <w:iCs w:val="0"/>
          <w:caps w:val="0"/>
          <w:color w:val="auto"/>
          <w:spacing w:val="0"/>
          <w:sz w:val="32"/>
          <w:szCs w:val="32"/>
          <w:shd w:val="clear" w:fill="FFFFFF"/>
        </w:rPr>
        <w:t>《国家药监局 人力资源社会保障部关于印发执业药师继续教育暂行规定的通知》</w:t>
      </w:r>
      <w:r>
        <w:rPr>
          <w:rFonts w:hint="eastAsia" w:ascii="仿宋" w:hAnsi="仿宋" w:eastAsia="仿宋" w:cs="仿宋"/>
          <w:color w:val="auto"/>
          <w:sz w:val="32"/>
          <w:szCs w:val="32"/>
          <w:shd w:val="clear" w:fill="FFFFFF"/>
        </w:rPr>
        <w:t>等文件精神，结合2024年度广东省执业药师继续教育考核评估</w:t>
      </w:r>
      <w:r>
        <w:rPr>
          <w:rFonts w:hint="eastAsia" w:ascii="仿宋" w:hAnsi="仿宋" w:eastAsia="仿宋" w:cs="仿宋"/>
          <w:color w:val="auto"/>
          <w:sz w:val="32"/>
          <w:szCs w:val="32"/>
          <w:shd w:val="clear" w:fill="FFFFFF"/>
          <w:lang w:val="en-US" w:eastAsia="zh-CN"/>
        </w:rPr>
        <w:t>结果及</w:t>
      </w:r>
      <w:r>
        <w:rPr>
          <w:rFonts w:hint="eastAsia" w:ascii="仿宋" w:hAnsi="仿宋" w:eastAsia="仿宋" w:cs="仿宋"/>
          <w:color w:val="auto"/>
          <w:sz w:val="32"/>
          <w:szCs w:val="32"/>
          <w:shd w:val="clear" w:fill="FFFFFF"/>
        </w:rPr>
        <w:t>我省实际,秉承“公开</w:t>
      </w:r>
      <w:r>
        <w:rPr>
          <w:rFonts w:hint="eastAsia" w:ascii="仿宋" w:hAnsi="仿宋" w:eastAsia="仿宋" w:cs="仿宋"/>
          <w:color w:val="auto"/>
          <w:sz w:val="32"/>
          <w:szCs w:val="32"/>
        </w:rPr>
        <w:t>、公平、公正”的原则，</w:t>
      </w:r>
      <w:r>
        <w:rPr>
          <w:rFonts w:hint="eastAsia" w:ascii="仿宋" w:hAnsi="仿宋" w:eastAsia="仿宋" w:cs="仿宋"/>
          <w:color w:val="auto"/>
          <w:sz w:val="32"/>
          <w:szCs w:val="32"/>
          <w:lang w:eastAsia="zh-CN"/>
        </w:rPr>
        <w:t>制定《</w:t>
      </w:r>
      <w:r>
        <w:rPr>
          <w:rFonts w:hint="eastAsia" w:ascii="仿宋" w:hAnsi="仿宋" w:eastAsia="仿宋" w:cs="仿宋"/>
          <w:color w:val="auto"/>
          <w:sz w:val="32"/>
          <w:szCs w:val="32"/>
          <w:lang w:val="en-US" w:eastAsia="zh-CN"/>
        </w:rPr>
        <w:t>2025年</w:t>
      </w:r>
      <w:r>
        <w:rPr>
          <w:rFonts w:hint="eastAsia" w:ascii="仿宋" w:hAnsi="仿宋" w:eastAsia="仿宋" w:cs="仿宋"/>
          <w:color w:val="auto"/>
          <w:sz w:val="32"/>
          <w:szCs w:val="32"/>
          <w:lang w:eastAsia="zh-CN"/>
        </w:rPr>
        <w:t>执业药师继续教育施教机构遴选方案》，</w:t>
      </w:r>
      <w:r>
        <w:rPr>
          <w:rFonts w:hint="eastAsia" w:ascii="仿宋" w:hAnsi="仿宋" w:eastAsia="仿宋" w:cs="仿宋"/>
          <w:color w:val="auto"/>
          <w:sz w:val="32"/>
          <w:szCs w:val="32"/>
        </w:rPr>
        <w:t>通过公开遴选方式</w:t>
      </w:r>
      <w:r>
        <w:rPr>
          <w:rFonts w:hint="eastAsia" w:ascii="仿宋" w:hAnsi="仿宋" w:eastAsia="仿宋" w:cs="仿宋"/>
          <w:color w:val="auto"/>
          <w:sz w:val="32"/>
          <w:szCs w:val="32"/>
          <w:lang w:val="en-US" w:eastAsia="zh-CN"/>
        </w:rPr>
        <w:t>补充我省执业药师</w:t>
      </w:r>
      <w:r>
        <w:rPr>
          <w:rFonts w:hint="eastAsia" w:ascii="仿宋" w:hAnsi="仿宋" w:eastAsia="仿宋" w:cs="仿宋"/>
          <w:color w:val="auto"/>
          <w:sz w:val="32"/>
          <w:szCs w:val="32"/>
        </w:rPr>
        <w:t>继续教育施教机构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olor w:val="000000"/>
          <w:sz w:val="32"/>
          <w:szCs w:val="32"/>
        </w:rPr>
      </w:pPr>
      <w:r>
        <w:rPr>
          <w:rFonts w:hint="eastAsia" w:ascii="黑体" w:hAnsi="黑体" w:eastAsia="黑体"/>
          <w:color w:val="000000"/>
          <w:sz w:val="32"/>
          <w:szCs w:val="32"/>
        </w:rPr>
        <w:t>二、申报对象</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outlineLvl w:val="9"/>
        <w:rPr>
          <w:rFonts w:hint="eastAsia" w:ascii="黑体" w:hAnsi="黑体" w:eastAsia="黑体"/>
          <w:color w:val="000000"/>
          <w:sz w:val="32"/>
          <w:szCs w:val="32"/>
        </w:rPr>
      </w:pPr>
      <w:r>
        <w:rPr>
          <w:rFonts w:hint="eastAsia" w:ascii="仿宋" w:hAnsi="仿宋" w:eastAsia="仿宋" w:cs="仿宋"/>
          <w:color w:val="auto"/>
          <w:sz w:val="32"/>
          <w:szCs w:val="32"/>
        </w:rPr>
        <w:t>自愿在</w:t>
      </w:r>
      <w:r>
        <w:rPr>
          <w:rFonts w:hint="eastAsia" w:ascii="仿宋" w:hAnsi="仿宋" w:eastAsia="仿宋" w:cs="仿宋"/>
          <w:color w:val="auto"/>
          <w:sz w:val="32"/>
          <w:szCs w:val="32"/>
          <w:lang w:eastAsia="zh-CN"/>
        </w:rPr>
        <w:t>广东</w:t>
      </w:r>
      <w:r>
        <w:rPr>
          <w:rFonts w:hint="eastAsia" w:ascii="仿宋" w:hAnsi="仿宋" w:eastAsia="仿宋" w:cs="仿宋"/>
          <w:color w:val="auto"/>
          <w:sz w:val="32"/>
          <w:szCs w:val="32"/>
        </w:rPr>
        <w:t>省内承担执业药师继续教育施教工作，并具备本方案规定必备条件的依法成立的高等院校、科研院所、</w:t>
      </w:r>
      <w:r>
        <w:rPr>
          <w:rFonts w:hint="eastAsia" w:ascii="仿宋" w:hAnsi="仿宋" w:eastAsia="仿宋" w:cs="仿宋"/>
          <w:color w:val="auto"/>
          <w:sz w:val="32"/>
          <w:szCs w:val="32"/>
          <w:highlight w:val="none"/>
          <w:lang w:val="en-US" w:eastAsia="zh-CN"/>
        </w:rPr>
        <w:t>大型企业、社会组织的培训机构等各类教育培训机构</w:t>
      </w:r>
      <w:r>
        <w:rPr>
          <w:rFonts w:hint="eastAsia" w:ascii="仿宋" w:hAnsi="仿宋" w:eastAsia="仿宋" w:cs="仿宋"/>
          <w:color w:val="auto"/>
          <w:sz w:val="32"/>
          <w:szCs w:val="32"/>
          <w:lang w:eastAsia="zh-CN"/>
        </w:rPr>
        <w:t>，</w:t>
      </w:r>
      <w:r>
        <w:rPr>
          <w:rFonts w:hint="eastAsia" w:ascii="仿宋" w:hAnsi="仿宋" w:eastAsia="仿宋" w:cs="仿宋"/>
          <w:color w:val="000000"/>
          <w:sz w:val="32"/>
          <w:szCs w:val="32"/>
        </w:rPr>
        <w:t>均可提出申报申请。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olor w:val="000000"/>
          <w:sz w:val="32"/>
          <w:szCs w:val="32"/>
        </w:rPr>
      </w:pPr>
      <w:r>
        <w:rPr>
          <w:rFonts w:hint="eastAsia" w:ascii="黑体" w:hAnsi="黑体" w:eastAsia="黑体"/>
          <w:color w:val="000000"/>
          <w:sz w:val="32"/>
          <w:szCs w:val="32"/>
        </w:rPr>
        <w:t>三、申报受理部门和申报流程、要求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000000"/>
          <w:sz w:val="32"/>
          <w:szCs w:val="32"/>
        </w:rPr>
        <w:t>（一）申报受理部门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000000"/>
          <w:sz w:val="32"/>
          <w:szCs w:val="32"/>
        </w:rPr>
        <w:t>执业药师继续教育施教机</w:t>
      </w:r>
      <w:r>
        <w:rPr>
          <w:rFonts w:hint="eastAsia" w:ascii="仿宋" w:hAnsi="仿宋" w:eastAsia="仿宋" w:cs="仿宋"/>
          <w:color w:val="auto"/>
          <w:sz w:val="32"/>
          <w:szCs w:val="32"/>
        </w:rPr>
        <w:t>构的申报受理部门为</w:t>
      </w:r>
      <w:r>
        <w:rPr>
          <w:rFonts w:hint="eastAsia" w:ascii="仿宋" w:hAnsi="仿宋" w:eastAsia="仿宋" w:cs="仿宋"/>
          <w:color w:val="auto"/>
          <w:sz w:val="32"/>
          <w:szCs w:val="32"/>
          <w:lang w:eastAsia="zh-CN"/>
        </w:rPr>
        <w:t>广东</w:t>
      </w:r>
      <w:r>
        <w:rPr>
          <w:rFonts w:hint="eastAsia" w:ascii="仿宋" w:hAnsi="仿宋" w:eastAsia="仿宋" w:cs="仿宋"/>
          <w:color w:val="auto"/>
          <w:sz w:val="32"/>
          <w:szCs w:val="32"/>
        </w:rPr>
        <w:t>省</w:t>
      </w:r>
      <w:r>
        <w:rPr>
          <w:rFonts w:hint="eastAsia" w:ascii="仿宋" w:hAnsi="仿宋" w:eastAsia="仿宋" w:cs="仿宋"/>
          <w:color w:val="auto"/>
          <w:sz w:val="32"/>
          <w:szCs w:val="32"/>
          <w:lang w:val="en-US" w:eastAsia="zh-CN"/>
        </w:rPr>
        <w:t>药品监督管理局事务中心</w:t>
      </w:r>
      <w:r>
        <w:rPr>
          <w:rFonts w:hint="eastAsia" w:ascii="仿宋" w:hAnsi="仿宋" w:eastAsia="仿宋" w:cs="仿宋"/>
          <w:color w:val="auto"/>
          <w:kern w:val="0"/>
          <w:sz w:val="32"/>
          <w:szCs w:val="32"/>
          <w:highlight w:val="none"/>
          <w:lang w:val="en-US" w:eastAsia="zh-CN"/>
        </w:rPr>
        <w:t>（以下简称“省药品监管局事务中心”）</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申报</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必须在规定时间内将所有材料提交至</w:t>
      </w:r>
      <w:r>
        <w:rPr>
          <w:rFonts w:hint="eastAsia" w:ascii="仿宋" w:hAnsi="仿宋" w:eastAsia="仿宋" w:cs="仿宋"/>
          <w:color w:val="auto"/>
          <w:kern w:val="0"/>
          <w:sz w:val="32"/>
          <w:szCs w:val="32"/>
          <w:highlight w:val="none"/>
          <w:lang w:val="en-US" w:eastAsia="zh-CN"/>
        </w:rPr>
        <w:t>省药品监管局事务中心</w:t>
      </w:r>
      <w:r>
        <w:rPr>
          <w:rFonts w:hint="eastAsia" w:ascii="仿宋" w:hAnsi="仿宋" w:eastAsia="仿宋" w:cs="仿宋"/>
          <w:color w:val="auto"/>
          <w:sz w:val="32"/>
          <w:szCs w:val="32"/>
        </w:rPr>
        <w:t>，逾期不接受受理或补充。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（二）申报</w:t>
      </w:r>
      <w:r>
        <w:rPr>
          <w:rFonts w:hint="eastAsia" w:ascii="仿宋" w:hAnsi="仿宋" w:eastAsia="仿宋" w:cs="仿宋"/>
          <w:b/>
          <w:bCs/>
          <w:color w:val="000000"/>
          <w:sz w:val="32"/>
          <w:szCs w:val="32"/>
          <w:lang w:eastAsia="zh-CN"/>
        </w:rPr>
        <w:t>材料</w:t>
      </w:r>
      <w:r>
        <w:rPr>
          <w:rFonts w:hint="eastAsia" w:ascii="仿宋" w:hAnsi="仿宋" w:eastAsia="仿宋" w:cs="仿宋"/>
          <w:b/>
          <w:bCs/>
          <w:color w:val="000000"/>
          <w:sz w:val="32"/>
          <w:szCs w:val="32"/>
        </w:rPr>
        <w:t>接收时间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outlineLvl w:val="0"/>
        <w:rPr>
          <w:rFonts w:hint="default" w:ascii="仿宋_GB2312" w:hAnsi="华文仿宋" w:eastAsia="仿宋_GB2312"/>
          <w:color w:val="auto"/>
          <w:sz w:val="32"/>
          <w:szCs w:val="32"/>
          <w:lang w:val="en-US"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申报时间为工作日工作时间</w:t>
      </w:r>
      <w:r>
        <w:rPr>
          <w:rFonts w:hint="eastAsia" w:ascii="仿宋_GB2312" w:hAnsi="华文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（三）申报</w:t>
      </w:r>
      <w:r>
        <w:rPr>
          <w:rFonts w:hint="eastAsia" w:ascii="仿宋" w:hAnsi="仿宋" w:eastAsia="仿宋" w:cs="仿宋"/>
          <w:b/>
          <w:bCs/>
          <w:color w:val="000000"/>
          <w:sz w:val="32"/>
          <w:szCs w:val="32"/>
          <w:lang w:eastAsia="zh-CN"/>
        </w:rPr>
        <w:t>单位</w:t>
      </w:r>
      <w:r>
        <w:rPr>
          <w:rFonts w:hint="eastAsia" w:ascii="仿宋" w:hAnsi="仿宋" w:eastAsia="仿宋" w:cs="仿宋"/>
          <w:b/>
          <w:bCs/>
          <w:color w:val="000000"/>
          <w:sz w:val="32"/>
          <w:szCs w:val="32"/>
        </w:rPr>
        <w:t>应满足下列要求</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其中序号1-6为</w:t>
      </w:r>
      <w:r>
        <w:rPr>
          <w:rFonts w:hint="eastAsia" w:ascii="仿宋" w:hAnsi="仿宋" w:eastAsia="仿宋" w:cs="仿宋"/>
          <w:b/>
          <w:bCs/>
          <w:color w:val="000000"/>
          <w:sz w:val="32"/>
          <w:szCs w:val="32"/>
          <w:lang w:eastAsia="zh-CN"/>
        </w:rPr>
        <w:t>必须具备的条件）</w:t>
      </w:r>
      <w:r>
        <w:rPr>
          <w:rFonts w:hint="eastAsia" w:ascii="仿宋" w:hAnsi="仿宋" w:eastAsia="仿宋" w:cs="仿宋"/>
          <w:b/>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i w:val="0"/>
          <w:iCs w:val="0"/>
          <w:caps w:val="0"/>
          <w:color w:val="000000"/>
          <w:spacing w:val="0"/>
          <w:sz w:val="32"/>
          <w:szCs w:val="32"/>
          <w:shd w:val="clear"/>
          <w:lang w:val="en-US" w:eastAsia="zh-CN"/>
        </w:rPr>
        <w:t>1.</w:t>
      </w:r>
      <w:r>
        <w:rPr>
          <w:rFonts w:hint="eastAsia" w:ascii="仿宋" w:hAnsi="仿宋" w:eastAsia="仿宋" w:cs="仿宋"/>
          <w:i w:val="0"/>
          <w:iCs w:val="0"/>
          <w:caps w:val="0"/>
          <w:color w:val="000000"/>
          <w:spacing w:val="0"/>
          <w:sz w:val="32"/>
          <w:szCs w:val="32"/>
          <w:shd w:val="clear"/>
        </w:rPr>
        <w:t>遵守国家相关法律法规，坚持正确的政治方向，积极配合药品监管部门开展有关工作</w:t>
      </w:r>
      <w:r>
        <w:rPr>
          <w:rFonts w:hint="eastAsia" w:ascii="仿宋" w:hAnsi="仿宋" w:eastAsia="仿宋" w:cs="仿宋"/>
          <w:i w:val="0"/>
          <w:iCs w:val="0"/>
          <w:caps w:val="0"/>
          <w:color w:val="000000"/>
          <w:spacing w:val="0"/>
          <w:sz w:val="32"/>
          <w:szCs w:val="32"/>
          <w:shd w:val="clear"/>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持有营业执照、办学许可证、事业单位法人证书或者社会团体法人登记证书</w:t>
      </w:r>
      <w:r>
        <w:rPr>
          <w:rFonts w:hint="eastAsia" w:ascii="仿宋" w:hAnsi="仿宋" w:eastAsia="仿宋" w:cs="仿宋"/>
          <w:color w:val="auto"/>
          <w:sz w:val="32"/>
          <w:szCs w:val="32"/>
        </w:rPr>
        <w:t>，</w:t>
      </w:r>
      <w:bookmarkStart w:id="0" w:name="OLE_LINK4"/>
      <w:r>
        <w:rPr>
          <w:rFonts w:hint="eastAsia" w:ascii="仿宋" w:hAnsi="仿宋" w:eastAsia="仿宋" w:cs="仿宋"/>
          <w:color w:val="auto"/>
          <w:sz w:val="32"/>
          <w:szCs w:val="32"/>
          <w:lang w:val="en-US" w:eastAsia="zh-CN"/>
        </w:rPr>
        <w:t>经</w:t>
      </w:r>
      <w:r>
        <w:rPr>
          <w:rFonts w:hint="eastAsia" w:ascii="仿宋" w:hAnsi="仿宋" w:eastAsia="仿宋" w:cs="仿宋"/>
          <w:color w:val="auto"/>
          <w:sz w:val="32"/>
          <w:szCs w:val="32"/>
        </w:rPr>
        <w:t>核准</w:t>
      </w:r>
      <w:r>
        <w:rPr>
          <w:rFonts w:hint="eastAsia" w:ascii="仿宋" w:hAnsi="仿宋" w:eastAsia="仿宋" w:cs="仿宋"/>
          <w:color w:val="auto"/>
          <w:sz w:val="32"/>
          <w:szCs w:val="32"/>
          <w:lang w:eastAsia="zh-CN"/>
        </w:rPr>
        <w:t>具有</w:t>
      </w:r>
      <w:r>
        <w:rPr>
          <w:rFonts w:hint="eastAsia" w:ascii="仿宋" w:hAnsi="仿宋" w:eastAsia="仿宋" w:cs="仿宋"/>
          <w:color w:val="auto"/>
          <w:sz w:val="32"/>
          <w:szCs w:val="32"/>
          <w:lang w:val="en-US" w:eastAsia="zh-CN"/>
        </w:rPr>
        <w:t>药学（中药学）专业高等教育教学、专业技术培训的</w:t>
      </w:r>
      <w:r>
        <w:rPr>
          <w:rFonts w:hint="eastAsia" w:ascii="仿宋" w:hAnsi="仿宋" w:eastAsia="仿宋" w:cs="仿宋"/>
          <w:color w:val="auto"/>
          <w:sz w:val="32"/>
          <w:szCs w:val="32"/>
        </w:rPr>
        <w:t>业务范围</w:t>
      </w:r>
      <w:r>
        <w:rPr>
          <w:rFonts w:hint="eastAsia" w:ascii="仿宋" w:hAnsi="仿宋" w:eastAsia="仿宋" w:cs="仿宋"/>
          <w:color w:val="auto"/>
          <w:sz w:val="32"/>
          <w:szCs w:val="32"/>
          <w:lang w:eastAsia="zh-CN"/>
        </w:rPr>
        <w:t>。</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申报前</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年内在经营活动中无重大违法违规行为，无不良信</w:t>
      </w:r>
      <w:r>
        <w:rPr>
          <w:rFonts w:hint="eastAsia" w:ascii="仿宋" w:hAnsi="仿宋" w:eastAsia="仿宋" w:cs="仿宋"/>
          <w:color w:val="auto"/>
          <w:sz w:val="32"/>
          <w:szCs w:val="32"/>
          <w:lang w:eastAsia="zh-CN"/>
        </w:rPr>
        <w:t>用记录。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4.被取消执业药师继续教育施教机构资质的，自取消之日起3年内不得再次申报。</w:t>
      </w:r>
    </w:p>
    <w:p>
      <w:pPr>
        <w:pStyle w:val="2"/>
        <w:spacing w:after="0" w:line="560" w:lineRule="exact"/>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highlight w:val="none"/>
          <w:lang w:val="en-US" w:eastAsia="zh-CN"/>
        </w:rPr>
        <w:t>具备开展执业药师继续教育培训工作的能力，具有相关教育培训经验。</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kern w:val="0"/>
          <w:sz w:val="32"/>
          <w:szCs w:val="32"/>
          <w:highlight w:val="none"/>
          <w:lang w:val="en-US" w:eastAsia="zh-CN"/>
        </w:rPr>
        <w:t>相关业务无不良记录。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7.具备稳定的内部组织架构，提供组织架构图；拥有4名</w:t>
      </w:r>
      <w:r>
        <w:rPr>
          <w:rFonts w:hint="eastAsia" w:ascii="仿宋" w:hAnsi="仿宋" w:eastAsia="仿宋" w:cs="仿宋"/>
          <w:color w:val="auto"/>
          <w:sz w:val="32"/>
          <w:szCs w:val="32"/>
          <w:highlight w:val="none"/>
        </w:rPr>
        <w:t>以上药学类、中药学类相关专业背景的</w:t>
      </w:r>
      <w:r>
        <w:rPr>
          <w:rFonts w:hint="eastAsia" w:ascii="仿宋" w:hAnsi="仿宋" w:eastAsia="仿宋" w:cs="仿宋"/>
          <w:color w:val="auto"/>
          <w:sz w:val="32"/>
          <w:szCs w:val="32"/>
          <w:highlight w:val="none"/>
          <w:lang w:val="en-US" w:eastAsia="zh-CN"/>
        </w:rPr>
        <w:t>专职管理人员</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kern w:val="0"/>
          <w:sz w:val="32"/>
          <w:szCs w:val="32"/>
          <w:highlight w:val="none"/>
          <w:lang w:val="en-US" w:eastAsia="zh-CN"/>
        </w:rPr>
        <w:t>拥有辅助管理团队，人员包括系统开发、系统运维、客服、会计及其他开展执业药师继续教育工作需要的人员等。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8.具备完善的机构管理制度、教学制度、工作规则、保密制度、档案管理和应急预案等各项规章制度，并能有效实施。</w:t>
      </w:r>
      <w:r>
        <w:rPr>
          <w:rFonts w:hint="eastAsia" w:ascii="仿宋" w:hAnsi="仿宋" w:eastAsia="仿宋" w:cs="仿宋"/>
          <w:color w:val="auto"/>
          <w:sz w:val="32"/>
          <w:szCs w:val="32"/>
          <w:highlight w:val="none"/>
        </w:rPr>
        <w:t>依法</w:t>
      </w:r>
      <w:r>
        <w:rPr>
          <w:rFonts w:hint="eastAsia" w:ascii="仿宋" w:hAnsi="仿宋" w:eastAsia="仿宋" w:cs="仿宋"/>
          <w:color w:val="auto"/>
          <w:sz w:val="32"/>
          <w:szCs w:val="32"/>
          <w:highlight w:val="none"/>
          <w:lang w:val="en-US" w:eastAsia="zh-CN"/>
        </w:rPr>
        <w:t>缴纳税收证明和健全的财务会计制度承诺函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坚持收费公示制度；使用合法票据</w:t>
      </w:r>
      <w:r>
        <w:rPr>
          <w:rFonts w:hint="eastAsia" w:ascii="仿宋" w:hAnsi="仿宋" w:eastAsia="仿宋" w:cs="仿宋"/>
          <w:color w:val="auto"/>
          <w:sz w:val="32"/>
          <w:szCs w:val="32"/>
          <w:highlight w:val="none"/>
          <w:lang w:val="en-US" w:eastAsia="zh-CN"/>
        </w:rPr>
        <w:t>进行收费</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9.具备现代化信息管理设备和技术，对继续教育工作进行信息化管理，能稳定开展继续教育活动，</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能够按相关管理要求将继续教育数据</w:t>
      </w:r>
      <w:r>
        <w:rPr>
          <w:rFonts w:hint="eastAsia" w:ascii="仿宋" w:hAnsi="仿宋" w:eastAsia="仿宋" w:cs="仿宋"/>
          <w:color w:val="auto"/>
          <w:sz w:val="32"/>
          <w:szCs w:val="32"/>
          <w:highlight w:val="none"/>
          <w:lang w:eastAsia="zh-CN"/>
        </w:rPr>
        <w:t>上传至广东</w:t>
      </w:r>
      <w:r>
        <w:rPr>
          <w:rFonts w:hint="eastAsia" w:ascii="仿宋" w:hAnsi="仿宋" w:eastAsia="仿宋" w:cs="仿宋"/>
          <w:color w:val="auto"/>
          <w:sz w:val="32"/>
          <w:szCs w:val="32"/>
          <w:highlight w:val="none"/>
        </w:rPr>
        <w:t>省</w:t>
      </w:r>
      <w:r>
        <w:rPr>
          <w:rFonts w:hint="eastAsia" w:ascii="仿宋" w:hAnsi="仿宋" w:eastAsia="仿宋" w:cs="仿宋"/>
          <w:color w:val="auto"/>
          <w:sz w:val="32"/>
          <w:szCs w:val="32"/>
          <w:highlight w:val="none"/>
          <w:lang w:eastAsia="zh-CN"/>
        </w:rPr>
        <w:t>执业</w:t>
      </w:r>
      <w:r>
        <w:rPr>
          <w:rFonts w:hint="eastAsia" w:ascii="仿宋" w:hAnsi="仿宋" w:eastAsia="仿宋" w:cs="仿宋"/>
          <w:color w:val="auto"/>
          <w:sz w:val="32"/>
          <w:szCs w:val="32"/>
          <w:highlight w:val="none"/>
        </w:rPr>
        <w:t>药师</w:t>
      </w:r>
      <w:r>
        <w:rPr>
          <w:rFonts w:hint="eastAsia" w:ascii="仿宋" w:hAnsi="仿宋" w:eastAsia="仿宋" w:cs="仿宋"/>
          <w:color w:val="auto"/>
          <w:sz w:val="32"/>
          <w:szCs w:val="32"/>
          <w:highlight w:val="none"/>
          <w:lang w:eastAsia="zh-CN"/>
        </w:rPr>
        <w:t>继续</w:t>
      </w:r>
      <w:r>
        <w:rPr>
          <w:rFonts w:hint="eastAsia" w:ascii="仿宋" w:hAnsi="仿宋" w:eastAsia="仿宋" w:cs="仿宋"/>
          <w:color w:val="auto"/>
          <w:sz w:val="32"/>
          <w:szCs w:val="32"/>
          <w:highlight w:val="none"/>
        </w:rPr>
        <w:t>教育管理</w:t>
      </w:r>
      <w:r>
        <w:rPr>
          <w:rFonts w:hint="eastAsia" w:ascii="仿宋" w:hAnsi="仿宋" w:eastAsia="仿宋" w:cs="仿宋"/>
          <w:color w:val="auto"/>
          <w:sz w:val="32"/>
          <w:szCs w:val="32"/>
          <w:highlight w:val="none"/>
          <w:lang w:val="en-US" w:eastAsia="zh-CN"/>
        </w:rPr>
        <w:t>系统</w:t>
      </w:r>
      <w:r>
        <w:rPr>
          <w:rFonts w:hint="eastAsia" w:ascii="仿宋" w:hAnsi="仿宋" w:eastAsia="仿宋" w:cs="仿宋"/>
          <w:color w:val="auto"/>
          <w:sz w:val="32"/>
          <w:szCs w:val="32"/>
          <w:highlight w:val="none"/>
          <w:lang w:eastAsia="zh-CN"/>
        </w:rPr>
        <w:t>（以下称管理</w:t>
      </w:r>
      <w:r>
        <w:rPr>
          <w:rFonts w:hint="eastAsia" w:ascii="仿宋" w:hAnsi="仿宋" w:eastAsia="仿宋" w:cs="仿宋"/>
          <w:color w:val="auto"/>
          <w:sz w:val="32"/>
          <w:szCs w:val="32"/>
          <w:highlight w:val="none"/>
          <w:lang w:val="en-US" w:eastAsia="zh-CN"/>
        </w:rPr>
        <w:t>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pPr>
        <w:widowControl w:val="0"/>
        <w:spacing w:line="560" w:lineRule="exact"/>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10.拥有不少于20名相对稳定、具有丰富实践经验和较高理论水平的专业师资队伍。继续教育师资应能涵盖药学高等教育、药品生产、药品批发、药品零售、药品使用和药学服务等多个领域，具备满足执业药师继续教育教学要求的药学类、中药学类相关专业副高及以上职称人员，或在该领域从业多年的知名专家。部分课程师资要求具有执业药师继续教育或药学专业技术人员、药品监管人员教育培训工作经验。</w:t>
      </w:r>
    </w:p>
    <w:p>
      <w:pPr>
        <w:widowControl w:val="0"/>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11.具备</w:t>
      </w:r>
      <w:r>
        <w:rPr>
          <w:rFonts w:hint="eastAsia" w:ascii="仿宋" w:hAnsi="仿宋" w:eastAsia="仿宋" w:cs="仿宋"/>
          <w:color w:val="auto"/>
          <w:sz w:val="32"/>
          <w:szCs w:val="32"/>
          <w:highlight w:val="none"/>
          <w:lang w:eastAsia="zh-CN"/>
        </w:rPr>
        <w:t>必要的客服条件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能</w:t>
      </w:r>
      <w:r>
        <w:rPr>
          <w:rFonts w:hint="eastAsia" w:ascii="仿宋" w:hAnsi="仿宋" w:eastAsia="仿宋" w:cs="仿宋"/>
          <w:color w:val="auto"/>
          <w:sz w:val="32"/>
          <w:szCs w:val="32"/>
          <w:highlight w:val="none"/>
        </w:rPr>
        <w:t>通过</w:t>
      </w:r>
      <w:r>
        <w:rPr>
          <w:rFonts w:hint="eastAsia" w:ascii="仿宋" w:hAnsi="仿宋" w:eastAsia="仿宋" w:cs="仿宋"/>
          <w:color w:val="auto"/>
          <w:sz w:val="32"/>
          <w:szCs w:val="32"/>
          <w:highlight w:val="none"/>
          <w:lang w:eastAsia="zh-CN"/>
        </w:rPr>
        <w:t>网络</w:t>
      </w:r>
      <w:r>
        <w:rPr>
          <w:rFonts w:hint="eastAsia" w:ascii="仿宋" w:hAnsi="仿宋" w:eastAsia="仿宋" w:cs="仿宋"/>
          <w:color w:val="auto"/>
          <w:sz w:val="32"/>
          <w:szCs w:val="32"/>
          <w:highlight w:val="none"/>
        </w:rPr>
        <w:t>在线、电话、电子邮件、现场服务等方式</w:t>
      </w:r>
      <w:r>
        <w:rPr>
          <w:rFonts w:hint="eastAsia" w:ascii="仿宋" w:hAnsi="仿宋" w:eastAsia="仿宋" w:cs="仿宋"/>
          <w:color w:val="auto"/>
          <w:sz w:val="32"/>
          <w:szCs w:val="32"/>
          <w:highlight w:val="none"/>
          <w:lang w:val="en-US" w:eastAsia="zh-CN"/>
        </w:rPr>
        <w:t>及时解决学员在接受执业药师继续教育过程中出现的问题。</w:t>
      </w:r>
    </w:p>
    <w:p>
      <w:pPr>
        <w:pStyle w:val="2"/>
        <w:spacing w:after="0"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具备成熟的医药等行业职业教育培训开展经验与服务水平，得到相关主管部门的认可或表彰。</w:t>
      </w:r>
    </w:p>
    <w:p>
      <w:pPr>
        <w:pStyle w:val="2"/>
        <w:spacing w:after="0"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13.具备运营执业药师继续教育等专业技术岗位人才培养、资格培训考核、继续教育的经验。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面授</w:t>
      </w:r>
      <w:r>
        <w:rPr>
          <w:rFonts w:hint="eastAsia" w:ascii="仿宋" w:hAnsi="仿宋" w:eastAsia="仿宋" w:cs="仿宋"/>
          <w:color w:val="000000"/>
          <w:sz w:val="32"/>
          <w:szCs w:val="32"/>
          <w:lang w:eastAsia="zh-CN"/>
        </w:rPr>
        <w:t>继续教育</w:t>
      </w:r>
      <w:r>
        <w:rPr>
          <w:rFonts w:hint="eastAsia" w:ascii="仿宋" w:hAnsi="仿宋" w:eastAsia="仿宋" w:cs="仿宋"/>
          <w:color w:val="000000"/>
          <w:sz w:val="32"/>
          <w:szCs w:val="32"/>
        </w:rPr>
        <w:t>机构</w:t>
      </w:r>
      <w:r>
        <w:rPr>
          <w:rFonts w:hint="eastAsia" w:ascii="仿宋" w:hAnsi="仿宋" w:eastAsia="仿宋" w:cs="仿宋"/>
          <w:color w:val="000000"/>
          <w:sz w:val="32"/>
          <w:szCs w:val="32"/>
          <w:lang w:val="en-US" w:eastAsia="zh-CN"/>
        </w:rPr>
        <w:t>还</w:t>
      </w:r>
      <w:r>
        <w:rPr>
          <w:rFonts w:hint="eastAsia" w:ascii="仿宋" w:hAnsi="仿宋" w:eastAsia="仿宋" w:cs="仿宋"/>
          <w:color w:val="000000"/>
          <w:sz w:val="32"/>
          <w:szCs w:val="32"/>
        </w:rPr>
        <w:t>应满足下列要求</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bookmarkStart w:id="1" w:name="OLE_LINK1"/>
      <w:r>
        <w:rPr>
          <w:rFonts w:hint="eastAsia" w:ascii="仿宋" w:hAnsi="仿宋" w:eastAsia="仿宋" w:cs="仿宋"/>
          <w:color w:val="auto"/>
          <w:sz w:val="32"/>
          <w:szCs w:val="32"/>
        </w:rPr>
        <w:t>具有固定的办公</w:t>
      </w:r>
      <w:r>
        <w:rPr>
          <w:rFonts w:hint="eastAsia" w:ascii="仿宋" w:hAnsi="仿宋" w:eastAsia="仿宋" w:cs="仿宋"/>
          <w:color w:val="auto"/>
          <w:sz w:val="32"/>
          <w:szCs w:val="32"/>
          <w:highlight w:val="none"/>
          <w:lang w:val="en-US" w:eastAsia="zh-CN"/>
        </w:rPr>
        <w:t>场地</w:t>
      </w:r>
      <w:r>
        <w:rPr>
          <w:rFonts w:hint="eastAsia" w:ascii="仿宋" w:hAnsi="仿宋" w:eastAsia="仿宋" w:cs="仿宋"/>
          <w:color w:val="auto"/>
          <w:sz w:val="32"/>
          <w:szCs w:val="32"/>
          <w:lang w:val="en-US" w:eastAsia="zh-CN"/>
        </w:rPr>
        <w:t>（需与登记地址一致）</w:t>
      </w:r>
      <w:r>
        <w:rPr>
          <w:rFonts w:hint="eastAsia" w:ascii="仿宋" w:hAnsi="仿宋" w:eastAsia="仿宋" w:cs="仿宋"/>
          <w:color w:val="auto"/>
          <w:sz w:val="32"/>
          <w:szCs w:val="32"/>
          <w:lang w:eastAsia="zh-CN"/>
        </w:rPr>
        <w:t>，具有稳定的培训</w:t>
      </w:r>
      <w:r>
        <w:rPr>
          <w:rFonts w:hint="eastAsia" w:ascii="仿宋" w:hAnsi="仿宋" w:eastAsia="仿宋" w:cs="仿宋"/>
          <w:color w:val="auto"/>
          <w:sz w:val="32"/>
          <w:szCs w:val="32"/>
        </w:rPr>
        <w:t>场所。</w:t>
      </w:r>
      <w:bookmarkEnd w:id="1"/>
      <w:r>
        <w:rPr>
          <w:rFonts w:hint="eastAsia" w:ascii="仿宋" w:hAnsi="仿宋" w:eastAsia="仿宋" w:cs="仿宋"/>
          <w:color w:val="auto"/>
          <w:sz w:val="32"/>
          <w:szCs w:val="32"/>
        </w:rPr>
        <w:t>场地为租赁的，必须签订1年</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以上的</w:t>
      </w:r>
      <w:r>
        <w:rPr>
          <w:rFonts w:hint="eastAsia" w:ascii="仿宋" w:hAnsi="仿宋" w:eastAsia="仿宋" w:cs="仿宋"/>
          <w:color w:val="auto"/>
          <w:sz w:val="32"/>
          <w:szCs w:val="32"/>
          <w:lang w:eastAsia="zh-CN"/>
        </w:rPr>
        <w:t>租用协议</w:t>
      </w:r>
      <w:r>
        <w:rPr>
          <w:rFonts w:hint="eastAsia" w:ascii="仿宋" w:hAnsi="仿宋" w:eastAsia="仿宋" w:cs="仿宋"/>
          <w:color w:val="auto"/>
          <w:sz w:val="32"/>
          <w:szCs w:val="32"/>
        </w:rPr>
        <w:t>。不得租借简易建筑物、危房、地下设施、从事正常教学的中小学校舍以及其他不适合培训教学的场所作为教学场地。</w:t>
      </w:r>
      <w:r>
        <w:rPr>
          <w:rFonts w:hint="eastAsia" w:ascii="仿宋" w:hAnsi="仿宋" w:eastAsia="仿宋" w:cs="仿宋"/>
          <w:color w:val="auto"/>
          <w:sz w:val="32"/>
          <w:szCs w:val="32"/>
          <w:lang w:val="en-US" w:eastAsia="zh-CN"/>
        </w:rPr>
        <w:t>继续教育场地应能容纳学员150人以上。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bookmarkStart w:id="2" w:name="OLE_LINK2"/>
      <w:r>
        <w:rPr>
          <w:rFonts w:hint="eastAsia" w:ascii="仿宋" w:hAnsi="仿宋" w:eastAsia="仿宋" w:cs="仿宋"/>
          <w:color w:val="000000"/>
          <w:sz w:val="32"/>
          <w:szCs w:val="32"/>
        </w:rPr>
        <w:t>网络远程</w:t>
      </w:r>
      <w:r>
        <w:rPr>
          <w:rFonts w:hint="eastAsia" w:ascii="仿宋" w:hAnsi="仿宋" w:eastAsia="仿宋" w:cs="仿宋"/>
          <w:color w:val="000000"/>
          <w:sz w:val="32"/>
          <w:szCs w:val="32"/>
          <w:lang w:eastAsia="zh-CN"/>
        </w:rPr>
        <w:t>继续教育</w:t>
      </w:r>
      <w:r>
        <w:rPr>
          <w:rFonts w:hint="eastAsia" w:ascii="仿宋" w:hAnsi="仿宋" w:eastAsia="仿宋" w:cs="仿宋"/>
          <w:color w:val="000000"/>
          <w:sz w:val="32"/>
          <w:szCs w:val="32"/>
        </w:rPr>
        <w:t>机构</w:t>
      </w:r>
      <w:bookmarkEnd w:id="2"/>
      <w:r>
        <w:rPr>
          <w:rFonts w:hint="eastAsia" w:ascii="仿宋" w:hAnsi="仿宋" w:eastAsia="仿宋" w:cs="仿宋"/>
          <w:color w:val="000000"/>
          <w:sz w:val="32"/>
          <w:szCs w:val="32"/>
          <w:lang w:val="en-US" w:eastAsia="zh-CN"/>
        </w:rPr>
        <w:t>还</w:t>
      </w:r>
      <w:r>
        <w:rPr>
          <w:rFonts w:hint="eastAsia" w:ascii="仿宋" w:hAnsi="仿宋" w:eastAsia="仿宋" w:cs="仿宋"/>
          <w:color w:val="000000"/>
          <w:sz w:val="32"/>
          <w:szCs w:val="32"/>
        </w:rPr>
        <w:t>应满足下列要求：</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color w:val="auto"/>
          <w:sz w:val="32"/>
          <w:szCs w:val="32"/>
          <w:lang w:val="en-US" w:eastAsia="zh-CN"/>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1 \* GB3</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①</w:t>
      </w:r>
      <w:r>
        <w:rPr>
          <w:rFonts w:hint="eastAsia" w:ascii="仿宋" w:hAnsi="仿宋" w:eastAsia="仿宋" w:cs="仿宋"/>
          <w:color w:val="000000"/>
          <w:sz w:val="32"/>
          <w:szCs w:val="32"/>
        </w:rPr>
        <w:fldChar w:fldCharType="end"/>
      </w:r>
      <w:r>
        <w:rPr>
          <w:rFonts w:hint="eastAsia" w:ascii="仿宋" w:hAnsi="仿宋" w:eastAsia="仿宋" w:cs="仿宋"/>
          <w:color w:val="auto"/>
          <w:sz w:val="32"/>
          <w:szCs w:val="32"/>
        </w:rPr>
        <w:t>具有固定的办公</w:t>
      </w:r>
      <w:r>
        <w:rPr>
          <w:rFonts w:hint="eastAsia" w:ascii="仿宋" w:hAnsi="仿宋" w:eastAsia="仿宋" w:cs="仿宋"/>
          <w:color w:val="auto"/>
          <w:sz w:val="32"/>
          <w:szCs w:val="32"/>
          <w:lang w:val="en-US" w:eastAsia="zh-CN"/>
        </w:rPr>
        <w:t>场地（需与登记地址一致），</w:t>
      </w:r>
      <w:r>
        <w:rPr>
          <w:rFonts w:hint="eastAsia" w:ascii="仿宋" w:hAnsi="仿宋" w:eastAsia="仿宋" w:cs="仿宋"/>
          <w:color w:val="auto"/>
          <w:sz w:val="32"/>
          <w:szCs w:val="32"/>
        </w:rPr>
        <w:t>场地为租赁的，必须签订1年</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以上的</w:t>
      </w:r>
      <w:r>
        <w:rPr>
          <w:rFonts w:hint="eastAsia" w:ascii="仿宋" w:hAnsi="仿宋" w:eastAsia="仿宋" w:cs="仿宋"/>
          <w:color w:val="auto"/>
          <w:sz w:val="32"/>
          <w:szCs w:val="32"/>
          <w:lang w:eastAsia="zh-CN"/>
        </w:rPr>
        <w:t>租用协议，</w:t>
      </w:r>
      <w:r>
        <w:rPr>
          <w:rFonts w:hint="eastAsia" w:ascii="仿宋" w:hAnsi="仿宋" w:eastAsia="仿宋" w:cs="仿宋"/>
          <w:color w:val="auto"/>
          <w:sz w:val="32"/>
          <w:szCs w:val="32"/>
          <w:lang w:val="en-US" w:eastAsia="zh-CN"/>
        </w:rPr>
        <w:t>具备相适应的</w:t>
      </w:r>
      <w:r>
        <w:rPr>
          <w:rFonts w:hint="eastAsia" w:ascii="仿宋" w:hAnsi="仿宋" w:eastAsia="仿宋" w:cs="仿宋"/>
          <w:color w:val="auto"/>
          <w:sz w:val="32"/>
          <w:szCs w:val="32"/>
          <w:highlight w:val="none"/>
          <w:lang w:val="en-US" w:eastAsia="zh-CN"/>
        </w:rPr>
        <w:t>办公设备以及网络远程教育设施设备。</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0000FF"/>
          <w:sz w:val="32"/>
          <w:szCs w:val="32"/>
        </w:rPr>
      </w:pPr>
      <w:r>
        <w:rPr>
          <w:rFonts w:hint="eastAsia" w:ascii="仿宋" w:hAnsi="仿宋" w:eastAsia="仿宋" w:cs="仿宋"/>
          <w:color w:val="auto"/>
          <w:sz w:val="32"/>
          <w:szCs w:val="32"/>
        </w:rPr>
        <w:t>②</w:t>
      </w:r>
      <w:r>
        <w:rPr>
          <w:rFonts w:hint="eastAsia" w:ascii="仿宋" w:hAnsi="仿宋" w:eastAsia="仿宋" w:cs="仿宋"/>
          <w:color w:val="auto"/>
          <w:kern w:val="0"/>
          <w:sz w:val="32"/>
          <w:szCs w:val="32"/>
          <w:highlight w:val="none"/>
          <w:lang w:val="en-US" w:eastAsia="zh-CN"/>
        </w:rPr>
        <w:t>具备工业和信息化部、公安部、国家市场监督管理总局等监管部门批准的相关资质，系统必须具备ICP备案号、公网安备号。</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rPr>
        <w:t>③</w:t>
      </w:r>
      <w:r>
        <w:rPr>
          <w:rFonts w:hint="eastAsia" w:ascii="仿宋" w:hAnsi="仿宋" w:eastAsia="仿宋" w:cs="仿宋"/>
          <w:color w:val="auto"/>
          <w:kern w:val="0"/>
          <w:sz w:val="32"/>
          <w:szCs w:val="32"/>
          <w:highlight w:val="none"/>
          <w:lang w:val="en-US" w:eastAsia="zh-CN"/>
        </w:rPr>
        <w:t>教学系统必须是独立系统。有移动客户端学习功能；有自动记录学习日期、时间和内容监控功能，具备稳定的在线学习、考试、评价以及信息修改查询、学时证书打印等功能模块。</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rPr>
        <w:t>④</w:t>
      </w:r>
      <w:r>
        <w:rPr>
          <w:rFonts w:hint="eastAsia" w:ascii="仿宋" w:hAnsi="仿宋" w:eastAsia="仿宋" w:cs="仿宋"/>
          <w:color w:val="auto"/>
          <w:kern w:val="0"/>
          <w:sz w:val="32"/>
          <w:szCs w:val="32"/>
          <w:highlight w:val="none"/>
          <w:lang w:val="en-US" w:eastAsia="zh-CN"/>
        </w:rPr>
        <w:t>拥有健全的信息、数据安全相关管理制度，具备安全监管与应急处理能力。系统安全满足国家信息系统安全等级保护相关要求。技术性能满足相关要求。</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⑤</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规范教育培训，防止作弊功能。系统通过验证弹题、禁止</w:t>
      </w:r>
      <w:r>
        <w:rPr>
          <w:rFonts w:hint="eastAsia" w:ascii="仿宋" w:hAnsi="仿宋" w:eastAsia="仿宋" w:cs="仿宋"/>
          <w:color w:val="auto"/>
          <w:sz w:val="32"/>
          <w:szCs w:val="32"/>
          <w:highlight w:val="none"/>
        </w:rPr>
        <w:t>快进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限制倍速、禁止挂课</w:t>
      </w:r>
      <w:r>
        <w:rPr>
          <w:rFonts w:hint="eastAsia" w:ascii="仿宋" w:hAnsi="仿宋" w:eastAsia="仿宋" w:cs="仿宋"/>
          <w:color w:val="auto"/>
          <w:sz w:val="32"/>
          <w:szCs w:val="32"/>
        </w:rPr>
        <w:t>等技术与功能，确保学员身份和学时真实</w:t>
      </w:r>
      <w:r>
        <w:rPr>
          <w:rFonts w:hint="eastAsia" w:ascii="仿宋" w:hAnsi="仿宋" w:eastAsia="仿宋" w:cs="仿宋"/>
          <w:color w:val="auto"/>
          <w:sz w:val="32"/>
          <w:szCs w:val="32"/>
          <w:lang w:eastAsia="zh-CN"/>
        </w:rPr>
        <w:t>有效</w:t>
      </w:r>
      <w:r>
        <w:rPr>
          <w:rFonts w:hint="eastAsia" w:ascii="仿宋" w:hAnsi="仿宋" w:eastAsia="仿宋" w:cs="仿宋"/>
          <w:color w:val="auto"/>
          <w:sz w:val="32"/>
          <w:szCs w:val="32"/>
        </w:rPr>
        <w:t>，能够保存学习过程中相关数据并实时</w:t>
      </w:r>
      <w:r>
        <w:rPr>
          <w:rFonts w:hint="eastAsia" w:ascii="仿宋" w:hAnsi="仿宋" w:eastAsia="仿宋" w:cs="仿宋"/>
          <w:color w:val="auto"/>
          <w:sz w:val="32"/>
          <w:szCs w:val="32"/>
          <w:lang w:val="en-US" w:eastAsia="zh-CN"/>
        </w:rPr>
        <w:t>推送</w:t>
      </w:r>
      <w:r>
        <w:rPr>
          <w:rFonts w:hint="eastAsia" w:ascii="仿宋" w:hAnsi="仿宋" w:eastAsia="仿宋" w:cs="仿宋"/>
          <w:color w:val="auto"/>
          <w:sz w:val="32"/>
          <w:szCs w:val="32"/>
        </w:rPr>
        <w:t>至</w:t>
      </w:r>
      <w:r>
        <w:rPr>
          <w:rFonts w:hint="eastAsia" w:ascii="仿宋" w:hAnsi="仿宋" w:eastAsia="仿宋" w:cs="仿宋"/>
          <w:color w:val="auto"/>
          <w:sz w:val="32"/>
          <w:szCs w:val="32"/>
          <w:highlight w:val="none"/>
          <w:lang w:val="en-US" w:eastAsia="zh-CN"/>
        </w:rPr>
        <w:t>管理系统</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（3）能够完全履行下列职责：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1 \* GB3</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①</w:t>
      </w:r>
      <w:r>
        <w:rPr>
          <w:rFonts w:hint="eastAsia" w:ascii="仿宋" w:hAnsi="仿宋" w:eastAsia="仿宋" w:cs="仿宋"/>
          <w:color w:val="auto"/>
          <w:sz w:val="32"/>
          <w:szCs w:val="32"/>
        </w:rPr>
        <w:fldChar w:fldCharType="end"/>
      </w:r>
      <w:r>
        <w:rPr>
          <w:rFonts w:hint="eastAsia" w:ascii="仿宋" w:hAnsi="仿宋" w:eastAsia="仿宋" w:cs="仿宋"/>
          <w:color w:val="auto"/>
          <w:kern w:val="0"/>
          <w:sz w:val="32"/>
          <w:szCs w:val="32"/>
          <w:highlight w:val="none"/>
          <w:lang w:val="en-US" w:eastAsia="zh-CN"/>
        </w:rPr>
        <w:t>制定并认真实施执业药师继续教育计划，严格执行有关学员、师资管理规定，每年进行教学质量评估，严肃学习纪律，加强学风建设。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2 \* GB3</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②</w:t>
      </w:r>
      <w:r>
        <w:rPr>
          <w:rFonts w:hint="eastAsia" w:ascii="仿宋" w:hAnsi="仿宋" w:eastAsia="仿宋" w:cs="仿宋"/>
          <w:color w:val="auto"/>
          <w:sz w:val="32"/>
          <w:szCs w:val="32"/>
        </w:rPr>
        <w:fldChar w:fldCharType="end"/>
      </w:r>
      <w:r>
        <w:rPr>
          <w:rFonts w:hint="eastAsia" w:ascii="仿宋" w:hAnsi="仿宋" w:eastAsia="仿宋" w:cs="仿宋"/>
          <w:color w:val="auto"/>
          <w:kern w:val="0"/>
          <w:sz w:val="32"/>
          <w:szCs w:val="32"/>
          <w:highlight w:val="none"/>
          <w:lang w:val="en-US" w:eastAsia="zh-CN"/>
        </w:rPr>
        <w:t>严格按照继续教育相关要求开展继续教育及考核，提供每年度不少于90学时的继续教育专业科目课程。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3 \* GB3</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③</w:t>
      </w:r>
      <w:r>
        <w:rPr>
          <w:rFonts w:hint="eastAsia" w:ascii="仿宋" w:hAnsi="仿宋" w:eastAsia="仿宋" w:cs="仿宋"/>
          <w:color w:val="000000"/>
          <w:sz w:val="32"/>
          <w:szCs w:val="32"/>
        </w:rPr>
        <w:fldChar w:fldCharType="end"/>
      </w:r>
      <w:r>
        <w:rPr>
          <w:rFonts w:hint="eastAsia" w:ascii="仿宋" w:hAnsi="仿宋" w:eastAsia="仿宋" w:cs="仿宋"/>
          <w:color w:val="auto"/>
          <w:kern w:val="0"/>
          <w:sz w:val="32"/>
          <w:szCs w:val="32"/>
          <w:highlight w:val="none"/>
          <w:lang w:val="en-US" w:eastAsia="zh-CN"/>
        </w:rPr>
        <w:t>建立健全执业药师继续教育管理档案（含电子档案），如实记录执业药师在本机构参加继续教育的时间、内容、方式和考试考核结果等，依法依规出具继续教育学时证明。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rPr>
        <w:t>④</w:t>
      </w:r>
      <w:r>
        <w:rPr>
          <w:rFonts w:hint="eastAsia" w:ascii="仿宋" w:hAnsi="仿宋" w:eastAsia="仿宋" w:cs="仿宋"/>
          <w:color w:val="auto"/>
          <w:kern w:val="0"/>
          <w:sz w:val="32"/>
          <w:szCs w:val="32"/>
          <w:highlight w:val="none"/>
          <w:lang w:val="en-US" w:eastAsia="zh-CN"/>
        </w:rPr>
        <w:t>按照相关要求建立严格的数据信息管理制度，防止数据丢失、外传和修改，保证信息安全。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rPr>
        <w:t>⑤</w:t>
      </w:r>
      <w:r>
        <w:rPr>
          <w:rFonts w:hint="eastAsia" w:ascii="仿宋" w:hAnsi="仿宋" w:eastAsia="仿宋" w:cs="仿宋"/>
          <w:color w:val="auto"/>
          <w:kern w:val="0"/>
          <w:sz w:val="32"/>
          <w:szCs w:val="32"/>
          <w:highlight w:val="none"/>
          <w:lang w:val="en-US" w:eastAsia="zh-CN"/>
        </w:rPr>
        <w:t>主动做好信息公开，主动向社会公开执业药师继续教育的时间和地点（网址）、内容、收费项目及标准等情况。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rPr>
        <w:t>⑥</w:t>
      </w:r>
      <w:r>
        <w:rPr>
          <w:rFonts w:hint="eastAsia" w:ascii="仿宋" w:hAnsi="仿宋" w:eastAsia="仿宋" w:cs="仿宋"/>
          <w:color w:val="auto"/>
          <w:kern w:val="0"/>
          <w:sz w:val="32"/>
          <w:szCs w:val="32"/>
          <w:highlight w:val="none"/>
          <w:lang w:val="en-US" w:eastAsia="zh-CN"/>
        </w:rPr>
        <w:t>严格按照继续教育相关管理规定向药品监督管理部门及人力资源社会保障部门报送继续教育材料，接受管理机构的管理和监督检查，包括但不限于教学计划、培训方案、课程内容、授课师资、收费情况、档案管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auto"/>
          <w:sz w:val="32"/>
          <w:szCs w:val="32"/>
        </w:rPr>
        <w:t>⑦</w:t>
      </w:r>
      <w:r>
        <w:rPr>
          <w:rFonts w:hint="eastAsia" w:ascii="仿宋" w:hAnsi="仿宋" w:eastAsia="仿宋" w:cs="仿宋"/>
          <w:color w:val="auto"/>
          <w:kern w:val="0"/>
          <w:sz w:val="32"/>
          <w:szCs w:val="32"/>
          <w:highlight w:val="none"/>
          <w:lang w:val="en-US" w:eastAsia="zh-CN"/>
        </w:rPr>
        <w:t>不得采取弄虚作假、欺诈等不正当手段招揽生源，不得以继续教育名义组织旅游或者组织与继续教育培训无关的活动，不得以继续教育名义乱收费或者只收费不培训，继续教育培训考试考核不得流于形式，以及不得从事其他有关法律法规明令禁止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olor w:val="000000"/>
          <w:sz w:val="32"/>
          <w:szCs w:val="32"/>
        </w:rPr>
      </w:pPr>
      <w:r>
        <w:rPr>
          <w:rFonts w:hint="eastAsia" w:ascii="黑体" w:hAnsi="黑体" w:eastAsia="黑体"/>
          <w:color w:val="000000"/>
          <w:sz w:val="32"/>
          <w:szCs w:val="32"/>
        </w:rPr>
        <w:t>四、申报所需提供的相关</w:t>
      </w:r>
      <w:r>
        <w:rPr>
          <w:rFonts w:hint="eastAsia" w:ascii="黑体" w:hAnsi="黑体" w:eastAsia="黑体"/>
          <w:color w:val="000000"/>
          <w:sz w:val="32"/>
          <w:szCs w:val="32"/>
          <w:lang w:eastAsia="zh-CN"/>
        </w:rPr>
        <w:t>材料</w:t>
      </w:r>
      <w:r>
        <w:rPr>
          <w:rFonts w:hint="eastAsia" w:ascii="黑体" w:hAnsi="黑体" w:eastAsia="黑体"/>
          <w:color w:val="000000"/>
          <w:sz w:val="32"/>
          <w:szCs w:val="32"/>
        </w:rPr>
        <w:t>、证明</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32"/>
          <w:szCs w:val="32"/>
        </w:rPr>
      </w:pPr>
      <w:r>
        <w:rPr>
          <w:rFonts w:hint="eastAsia" w:ascii="仿宋" w:hAnsi="仿宋" w:eastAsia="仿宋" w:cs="仿宋"/>
          <w:color w:val="000000"/>
          <w:sz w:val="32"/>
          <w:szCs w:val="32"/>
        </w:rPr>
        <w:t>根据自愿的原则，申报机构需将相关</w:t>
      </w:r>
      <w:r>
        <w:rPr>
          <w:rFonts w:hint="eastAsia" w:ascii="仿宋" w:hAnsi="仿宋" w:eastAsia="仿宋" w:cs="仿宋"/>
          <w:color w:val="000000"/>
          <w:sz w:val="32"/>
          <w:szCs w:val="32"/>
          <w:lang w:eastAsia="zh-CN"/>
        </w:rPr>
        <w:t>材料</w:t>
      </w:r>
      <w:r>
        <w:rPr>
          <w:rFonts w:hint="eastAsia" w:ascii="仿宋" w:hAnsi="仿宋" w:eastAsia="仿宋" w:cs="仿宋"/>
          <w:color w:val="000000"/>
          <w:sz w:val="32"/>
          <w:szCs w:val="32"/>
        </w:rPr>
        <w:t>面交至</w:t>
      </w:r>
      <w:r>
        <w:rPr>
          <w:rFonts w:hint="eastAsia" w:ascii="仿宋" w:hAnsi="仿宋" w:eastAsia="仿宋" w:cs="仿宋"/>
          <w:color w:val="auto"/>
          <w:sz w:val="32"/>
          <w:szCs w:val="32"/>
          <w:highlight w:val="none"/>
        </w:rPr>
        <w:t>省</w:t>
      </w:r>
      <w:r>
        <w:rPr>
          <w:rFonts w:hint="eastAsia" w:ascii="仿宋" w:hAnsi="仿宋" w:eastAsia="仿宋" w:cs="仿宋"/>
          <w:color w:val="auto"/>
          <w:sz w:val="32"/>
          <w:szCs w:val="32"/>
          <w:highlight w:val="none"/>
          <w:lang w:val="en-US" w:eastAsia="zh-CN"/>
        </w:rPr>
        <w:t>药品监管局事务中心</w:t>
      </w:r>
      <w:r>
        <w:rPr>
          <w:rFonts w:hint="eastAsia" w:ascii="仿宋" w:hAnsi="仿宋" w:eastAsia="仿宋" w:cs="仿宋"/>
          <w:color w:val="auto"/>
          <w:sz w:val="32"/>
          <w:szCs w:val="32"/>
        </w:rPr>
        <w:t>，申请</w:t>
      </w:r>
      <w:r>
        <w:rPr>
          <w:rFonts w:hint="eastAsia" w:ascii="仿宋" w:hAnsi="仿宋" w:eastAsia="仿宋" w:cs="仿宋"/>
          <w:color w:val="auto"/>
          <w:sz w:val="32"/>
          <w:szCs w:val="32"/>
          <w:lang w:eastAsia="zh-CN"/>
        </w:rPr>
        <w:t>材料</w:t>
      </w:r>
      <w:r>
        <w:rPr>
          <w:rFonts w:hint="eastAsia" w:ascii="仿宋" w:hAnsi="仿宋" w:eastAsia="仿宋" w:cs="仿宋"/>
          <w:color w:val="auto"/>
          <w:sz w:val="32"/>
          <w:szCs w:val="32"/>
        </w:rPr>
        <w:t>包括：</w:t>
      </w:r>
    </w:p>
    <w:p>
      <w:pPr>
        <w:spacing w:line="560" w:lineRule="exact"/>
        <w:ind w:firstLine="643"/>
        <w:outlineLvl w:val="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按要求填</w:t>
      </w:r>
      <w:r>
        <w:rPr>
          <w:rFonts w:hint="eastAsia" w:ascii="仿宋" w:hAnsi="仿宋" w:eastAsia="仿宋" w:cs="仿宋"/>
          <w:color w:val="000000"/>
          <w:sz w:val="32"/>
          <w:szCs w:val="32"/>
          <w:lang w:eastAsia="zh-CN"/>
        </w:rPr>
        <w:t>写并</w:t>
      </w:r>
      <w:r>
        <w:rPr>
          <w:rFonts w:hint="eastAsia" w:ascii="仿宋" w:hAnsi="仿宋" w:eastAsia="仿宋" w:cs="仿宋"/>
          <w:color w:val="000000"/>
          <w:sz w:val="32"/>
          <w:szCs w:val="32"/>
        </w:rPr>
        <w:t>加盖公章</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2025年</w:t>
      </w:r>
      <w:r>
        <w:rPr>
          <w:rFonts w:hint="eastAsia" w:ascii="仿宋" w:hAnsi="仿宋" w:eastAsia="仿宋" w:cs="仿宋"/>
          <w:color w:val="auto"/>
          <w:sz w:val="32"/>
          <w:szCs w:val="32"/>
          <w:lang w:eastAsia="zh-CN"/>
        </w:rPr>
        <w:t>广东</w:t>
      </w:r>
      <w:r>
        <w:rPr>
          <w:rFonts w:hint="eastAsia" w:ascii="仿宋" w:hAnsi="仿宋" w:eastAsia="仿宋" w:cs="仿宋"/>
          <w:color w:val="000000"/>
          <w:sz w:val="32"/>
          <w:szCs w:val="32"/>
        </w:rPr>
        <w:t>省执业药师继续教育施教机构申报申请表》</w:t>
      </w:r>
      <w:r>
        <w:rPr>
          <w:rFonts w:hint="eastAsia" w:ascii="仿宋" w:hAnsi="仿宋" w:eastAsia="仿宋" w:cs="仿宋"/>
          <w:color w:val="000000"/>
          <w:sz w:val="32"/>
          <w:szCs w:val="32"/>
          <w:lang w:val="en-US" w:eastAsia="zh-CN"/>
        </w:rPr>
        <w:t>原件</w:t>
      </w:r>
      <w:r>
        <w:rPr>
          <w:rFonts w:hint="eastAsia" w:ascii="仿宋" w:hAnsi="仿宋" w:eastAsia="仿宋" w:cs="仿宋"/>
          <w:color w:val="000000"/>
          <w:sz w:val="32"/>
          <w:szCs w:val="32"/>
        </w:rPr>
        <w:t>1份。</w:t>
      </w:r>
    </w:p>
    <w:p>
      <w:pPr>
        <w:spacing w:line="560" w:lineRule="exact"/>
        <w:ind w:firstLine="640" w:firstLineChars="200"/>
        <w:jc w:val="left"/>
        <w:rPr>
          <w:rFonts w:hint="eastAsia" w:ascii="仿宋" w:hAnsi="仿宋" w:eastAsia="仿宋" w:cs="仿宋"/>
          <w:color w:val="FF0000"/>
          <w:kern w:val="0"/>
          <w:sz w:val="32"/>
          <w:szCs w:val="32"/>
          <w:highlight w:val="none"/>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《办学许可证》或</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事业单位</w:t>
      </w:r>
      <w:r>
        <w:rPr>
          <w:rFonts w:hint="eastAsia" w:ascii="仿宋" w:hAnsi="仿宋" w:eastAsia="仿宋" w:cs="仿宋"/>
          <w:color w:val="auto"/>
          <w:sz w:val="32"/>
          <w:szCs w:val="32"/>
          <w:highlight w:val="none"/>
          <w:lang w:eastAsia="zh-CN"/>
        </w:rPr>
        <w:t>法人证书》</w:t>
      </w:r>
      <w:r>
        <w:rPr>
          <w:rFonts w:hint="eastAsia" w:ascii="仿宋" w:hAnsi="仿宋" w:eastAsia="仿宋" w:cs="仿宋"/>
          <w:color w:val="000000"/>
          <w:sz w:val="32"/>
          <w:szCs w:val="32"/>
          <w:lang w:eastAsia="zh-CN"/>
        </w:rPr>
        <w:t>《社会团体法人登记证书》</w:t>
      </w:r>
      <w:r>
        <w:rPr>
          <w:rFonts w:hint="eastAsia" w:ascii="仿宋" w:hAnsi="仿宋" w:eastAsia="仿宋" w:cs="仿宋"/>
          <w:color w:val="000000"/>
          <w:sz w:val="32"/>
          <w:szCs w:val="32"/>
        </w:rPr>
        <w:t>《企业法人营业执照》（登记证书）副本和《组织机构代码证》复印件（三证合一、五证合一的单位提供《企业法人营业执照》（登记证书）副本）</w:t>
      </w:r>
      <w:r>
        <w:rPr>
          <w:rFonts w:hint="eastAsia" w:ascii="仿宋" w:hAnsi="仿宋" w:eastAsia="仿宋" w:cs="仿宋"/>
          <w:color w:val="000000"/>
          <w:sz w:val="32"/>
          <w:szCs w:val="32"/>
          <w:lang w:val="en-US" w:eastAsia="zh-CN"/>
        </w:rPr>
        <w:t>各3份</w:t>
      </w:r>
      <w:r>
        <w:rPr>
          <w:rFonts w:hint="eastAsia" w:ascii="仿宋" w:hAnsi="仿宋" w:eastAsia="仿宋" w:cs="仿宋"/>
          <w:color w:val="auto"/>
          <w:kern w:val="0"/>
          <w:sz w:val="32"/>
          <w:szCs w:val="32"/>
          <w:highlight w:val="none"/>
          <w:lang w:val="en-US" w:eastAsia="zh-CN"/>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auto"/>
          <w:kern w:val="0"/>
          <w:sz w:val="32"/>
          <w:szCs w:val="32"/>
          <w:highlight w:val="none"/>
          <w:lang w:val="en-US" w:eastAsia="zh-CN"/>
        </w:rPr>
        <w:t>机构法人代表（负责人）身份证及相关证明材料复印件3份（加盖单位公章）。</w:t>
      </w:r>
    </w:p>
    <w:p>
      <w:pPr>
        <w:pStyle w:val="21"/>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申报前3年内，在经营活动中没有重大违反相关法律法规行为、无不良信用记录的书面承诺及查询结果截图。</w:t>
      </w:r>
    </w:p>
    <w:p>
      <w:pPr>
        <w:pStyle w:val="21"/>
        <w:numPr>
          <w:ilvl w:val="0"/>
          <w:numId w:val="1"/>
        </w:numPr>
        <w:spacing w:line="560" w:lineRule="exact"/>
        <w:ind w:firstLine="64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rPr>
        <w:t>核准从事</w:t>
      </w:r>
      <w:r>
        <w:rPr>
          <w:rFonts w:hint="eastAsia" w:ascii="仿宋" w:hAnsi="仿宋" w:eastAsia="仿宋" w:cs="仿宋"/>
          <w:color w:val="auto"/>
          <w:sz w:val="32"/>
          <w:szCs w:val="32"/>
          <w:lang w:val="en-US" w:eastAsia="zh-CN"/>
        </w:rPr>
        <w:t>药学（中药学）等专业高等教育教学、专业技术培训等</w:t>
      </w:r>
      <w:r>
        <w:rPr>
          <w:rFonts w:hint="eastAsia" w:ascii="仿宋" w:hAnsi="仿宋" w:eastAsia="仿宋" w:cs="仿宋"/>
          <w:color w:val="auto"/>
          <w:sz w:val="32"/>
          <w:szCs w:val="32"/>
        </w:rPr>
        <w:t>业务</w:t>
      </w:r>
      <w:r>
        <w:rPr>
          <w:rFonts w:hint="eastAsia" w:ascii="仿宋" w:hAnsi="仿宋" w:eastAsia="仿宋" w:cs="仿宋"/>
          <w:color w:val="auto"/>
          <w:kern w:val="0"/>
          <w:sz w:val="32"/>
          <w:szCs w:val="32"/>
          <w:highlight w:val="none"/>
          <w:lang w:val="en-US" w:eastAsia="zh-CN"/>
        </w:rPr>
        <w:t>相关证明材料复印件3份（加盖单位公章）。</w:t>
      </w:r>
    </w:p>
    <w:p>
      <w:pPr>
        <w:spacing w:line="560" w:lineRule="exact"/>
        <w:ind w:firstLine="640" w:firstLineChars="200"/>
        <w:jc w:val="left"/>
        <w:rPr>
          <w:rFonts w:hint="eastAsia" w:ascii="仿宋" w:hAnsi="仿宋" w:eastAsia="仿宋" w:cs="仿宋"/>
          <w:color w:val="000000"/>
          <w:sz w:val="32"/>
          <w:szCs w:val="32"/>
          <w:lang w:val="en-US" w:eastAsia="zh-CN"/>
        </w:rPr>
      </w:pPr>
      <w:r>
        <w:rPr>
          <w:rFonts w:hint="eastAsia" w:ascii="仿宋" w:hAnsi="仿宋" w:eastAsia="仿宋" w:cs="仿宋"/>
          <w:color w:val="auto"/>
          <w:kern w:val="0"/>
          <w:sz w:val="32"/>
          <w:szCs w:val="32"/>
          <w:highlight w:val="none"/>
          <w:lang w:val="en-US" w:eastAsia="zh-CN"/>
        </w:rPr>
        <w:t>（六）依法缴纳税收证明和健全的财务会计制度承诺函等相关材料。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sz w:val="32"/>
          <w:szCs w:val="32"/>
          <w:highlight w:val="none"/>
          <w:lang w:val="en-US" w:eastAsia="zh-CN"/>
        </w:rPr>
        <w:t>（七）机构人员配置表，</w:t>
      </w:r>
      <w:r>
        <w:rPr>
          <w:rFonts w:hint="eastAsia" w:ascii="仿宋" w:hAnsi="仿宋" w:eastAsia="仿宋" w:cs="仿宋"/>
          <w:color w:val="auto"/>
          <w:kern w:val="0"/>
          <w:sz w:val="32"/>
          <w:szCs w:val="32"/>
          <w:highlight w:val="none"/>
          <w:lang w:val="en-US" w:eastAsia="zh-CN"/>
        </w:rPr>
        <w:t>专职管理人员身份证复印件及相关证明材料复印件（如劳动合同、社保等），专兼职师资人员证明材料复印件（如教师资格证、职称证书等）。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（八）内部组织架构图。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（九）</w:t>
      </w:r>
      <w:bookmarkStart w:id="3" w:name="OLE_LINK3"/>
      <w:r>
        <w:rPr>
          <w:rFonts w:hint="eastAsia" w:ascii="仿宋" w:hAnsi="仿宋" w:eastAsia="仿宋" w:cs="仿宋"/>
          <w:color w:val="auto"/>
          <w:kern w:val="0"/>
          <w:sz w:val="32"/>
          <w:szCs w:val="32"/>
          <w:highlight w:val="none"/>
          <w:lang w:val="en-US" w:eastAsia="zh-CN"/>
        </w:rPr>
        <w:t>机构行政管理、教学管理、保密管理、档案管理、财会管理和应急预案等各项规章制度。</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（十）</w:t>
      </w:r>
      <w:r>
        <w:rPr>
          <w:rFonts w:hint="eastAsia" w:ascii="仿宋" w:hAnsi="仿宋" w:eastAsia="仿宋" w:cs="仿宋"/>
          <w:color w:val="auto"/>
          <w:sz w:val="32"/>
          <w:szCs w:val="32"/>
          <w:highlight w:val="none"/>
        </w:rPr>
        <w:t>执业药师继续教育或其他专业技术岗位人才培养、资格培训考核、继续教育经验</w:t>
      </w:r>
      <w:r>
        <w:rPr>
          <w:rFonts w:hint="eastAsia" w:ascii="仿宋" w:hAnsi="仿宋" w:eastAsia="仿宋" w:cs="仿宋"/>
          <w:color w:val="auto"/>
          <w:kern w:val="0"/>
          <w:sz w:val="32"/>
          <w:szCs w:val="32"/>
          <w:highlight w:val="none"/>
          <w:lang w:val="en-US" w:eastAsia="zh-CN"/>
        </w:rPr>
        <w:t>的相关证明材料。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（十一）面授继续教育机构还应提交：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1.用于办公和教学的场地租赁合同或使用权证明；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2.提供教学场地平面布局图和主要设备设施清单；</w:t>
      </w:r>
    </w:p>
    <w:p>
      <w:pPr>
        <w:pStyle w:val="2"/>
        <w:spacing w:after="0" w:line="560" w:lineRule="exact"/>
        <w:ind w:firstLine="64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3.提供具备现代化信息管理设备和技术的证明材料；</w:t>
      </w:r>
    </w:p>
    <w:p>
      <w:pPr>
        <w:pStyle w:val="2"/>
        <w:spacing w:after="0" w:line="560" w:lineRule="exact"/>
        <w:ind w:firstLine="64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4.申报机构认为与本方案规定有关的其他证明材料。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（十二）网络远程继续教育机构还应提交：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1.用于办公的场地租赁合同或使用权证明；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2.工业和信息化部、公安部、国家市场监督管理总局等监管部门批准的相关资质，ICP备案号、公网安备号；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3.确认权属的系统软件著作权证书；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4.教学系统功能介绍及操作说明；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5.保障教学系统安全稳定运行的服务承诺书；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6.教学系统的测试账号及密码一套；</w:t>
      </w:r>
    </w:p>
    <w:p>
      <w:pPr>
        <w:pStyle w:val="2"/>
        <w:spacing w:after="0" w:line="56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7.申报机构认为与本方案规定有关的其它证明材料。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olor w:val="000000"/>
          <w:sz w:val="32"/>
          <w:szCs w:val="32"/>
        </w:rPr>
      </w:pPr>
      <w:r>
        <w:rPr>
          <w:rFonts w:hint="eastAsia" w:ascii="黑体" w:hAnsi="黑体" w:eastAsia="黑体"/>
          <w:color w:val="000000"/>
          <w:sz w:val="32"/>
          <w:szCs w:val="32"/>
          <w:lang w:val="en-US" w:eastAsia="zh-CN"/>
        </w:rPr>
        <w:t>五</w:t>
      </w:r>
      <w:r>
        <w:rPr>
          <w:rFonts w:hint="eastAsia" w:ascii="黑体" w:hAnsi="黑体" w:eastAsia="黑体"/>
          <w:color w:val="000000"/>
          <w:sz w:val="32"/>
          <w:szCs w:val="32"/>
        </w:rPr>
        <w:t>、申报</w:t>
      </w:r>
      <w:r>
        <w:rPr>
          <w:rFonts w:hint="eastAsia" w:ascii="黑体" w:hAnsi="黑体" w:eastAsia="黑体"/>
          <w:color w:val="000000"/>
          <w:sz w:val="32"/>
          <w:szCs w:val="32"/>
          <w:lang w:eastAsia="zh-CN"/>
        </w:rPr>
        <w:t>材</w:t>
      </w:r>
      <w:r>
        <w:rPr>
          <w:rFonts w:hint="eastAsia" w:ascii="黑体" w:hAnsi="黑体" w:eastAsia="黑体"/>
          <w:color w:val="000000"/>
          <w:sz w:val="32"/>
          <w:szCs w:val="32"/>
        </w:rPr>
        <w:t>料审查及公告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（一）</w:t>
      </w:r>
      <w:r>
        <w:rPr>
          <w:rFonts w:hint="eastAsia" w:ascii="仿宋_GB2312" w:hAnsi="华文仿宋" w:eastAsia="仿宋_GB2312"/>
          <w:b/>
          <w:bCs/>
          <w:color w:val="000000"/>
          <w:sz w:val="32"/>
          <w:szCs w:val="32"/>
          <w:lang w:eastAsia="zh-CN"/>
        </w:rPr>
        <w:t>材</w:t>
      </w:r>
      <w:r>
        <w:rPr>
          <w:rFonts w:hint="eastAsia" w:ascii="仿宋_GB2312" w:hAnsi="华文仿宋" w:eastAsia="仿宋_GB2312"/>
          <w:b/>
          <w:bCs/>
          <w:color w:val="000000"/>
          <w:sz w:val="32"/>
          <w:szCs w:val="32"/>
        </w:rPr>
        <w:t>料审查/现场核查</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省药品监管局事务中心</w:t>
      </w:r>
      <w:r>
        <w:rPr>
          <w:rFonts w:hint="eastAsia" w:ascii="仿宋" w:hAnsi="仿宋" w:eastAsia="仿宋" w:cs="仿宋"/>
          <w:color w:val="000000"/>
          <w:sz w:val="32"/>
          <w:szCs w:val="32"/>
        </w:rPr>
        <w:t>对申报机构所提交的</w:t>
      </w:r>
      <w:r>
        <w:rPr>
          <w:rFonts w:hint="eastAsia" w:ascii="仿宋" w:hAnsi="仿宋" w:eastAsia="仿宋" w:cs="仿宋"/>
          <w:color w:val="000000"/>
          <w:sz w:val="32"/>
          <w:szCs w:val="32"/>
          <w:lang w:eastAsia="zh-CN"/>
        </w:rPr>
        <w:t>材料</w:t>
      </w:r>
      <w:r>
        <w:rPr>
          <w:rFonts w:hint="eastAsia" w:ascii="仿宋" w:hAnsi="仿宋" w:eastAsia="仿宋" w:cs="仿宋"/>
          <w:color w:val="000000"/>
          <w:sz w:val="32"/>
          <w:szCs w:val="32"/>
        </w:rPr>
        <w:t>进行受理。对于</w:t>
      </w:r>
      <w:r>
        <w:rPr>
          <w:rFonts w:hint="eastAsia" w:ascii="仿宋" w:hAnsi="仿宋" w:eastAsia="仿宋" w:cs="仿宋"/>
          <w:color w:val="000000"/>
          <w:sz w:val="32"/>
          <w:szCs w:val="32"/>
          <w:lang w:eastAsia="zh-CN"/>
        </w:rPr>
        <w:t>材料</w:t>
      </w:r>
      <w:r>
        <w:rPr>
          <w:rFonts w:hint="eastAsia" w:ascii="仿宋" w:hAnsi="仿宋" w:eastAsia="仿宋" w:cs="仿宋"/>
          <w:color w:val="000000"/>
          <w:sz w:val="32"/>
          <w:szCs w:val="32"/>
        </w:rPr>
        <w:t>不齐全的，一次性告知申报机构需要补正的全部内容及截止日期；对于申报材料不符合规定要求的，告知申报机构，并退回所提交的</w:t>
      </w:r>
      <w:r>
        <w:rPr>
          <w:rFonts w:hint="eastAsia" w:ascii="仿宋" w:hAnsi="仿宋" w:eastAsia="仿宋" w:cs="仿宋"/>
          <w:color w:val="000000"/>
          <w:sz w:val="32"/>
          <w:szCs w:val="32"/>
          <w:lang w:eastAsia="zh-CN"/>
        </w:rPr>
        <w:t>材料</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省药品监管局事务中心</w:t>
      </w:r>
      <w:r>
        <w:rPr>
          <w:rFonts w:hint="eastAsia" w:ascii="仿宋" w:hAnsi="仿宋" w:eastAsia="仿宋" w:cs="仿宋"/>
          <w:color w:val="000000"/>
          <w:sz w:val="32"/>
          <w:szCs w:val="32"/>
        </w:rPr>
        <w:t>认为有需要对申报机构进行现场</w:t>
      </w:r>
      <w:r>
        <w:rPr>
          <w:rFonts w:hint="eastAsia" w:ascii="仿宋" w:hAnsi="仿宋" w:eastAsia="仿宋" w:cs="仿宋"/>
          <w:color w:val="000000"/>
          <w:sz w:val="32"/>
          <w:szCs w:val="32"/>
          <w:lang w:eastAsia="zh-CN"/>
        </w:rPr>
        <w:t>核</w:t>
      </w:r>
      <w:r>
        <w:rPr>
          <w:rFonts w:hint="eastAsia" w:ascii="仿宋" w:hAnsi="仿宋" w:eastAsia="仿宋" w:cs="仿宋"/>
          <w:color w:val="000000"/>
          <w:sz w:val="32"/>
          <w:szCs w:val="32"/>
        </w:rPr>
        <w:t>查的，可要求申报机构</w:t>
      </w:r>
      <w:r>
        <w:rPr>
          <w:rFonts w:hint="eastAsia" w:ascii="仿宋" w:hAnsi="仿宋" w:eastAsia="仿宋" w:cs="仿宋"/>
          <w:color w:val="000000"/>
          <w:sz w:val="32"/>
          <w:szCs w:val="32"/>
          <w:lang w:eastAsia="zh-CN"/>
        </w:rPr>
        <w:t>做好</w:t>
      </w:r>
      <w:r>
        <w:rPr>
          <w:rFonts w:hint="eastAsia" w:ascii="仿宋" w:hAnsi="仿宋" w:eastAsia="仿宋" w:cs="仿宋"/>
          <w:color w:val="000000"/>
          <w:sz w:val="32"/>
          <w:szCs w:val="32"/>
        </w:rPr>
        <w:t>准备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随时</w:t>
      </w:r>
      <w:r>
        <w:rPr>
          <w:rFonts w:hint="eastAsia" w:ascii="仿宋" w:hAnsi="仿宋" w:eastAsia="仿宋" w:cs="仿宋"/>
          <w:color w:val="000000"/>
          <w:sz w:val="32"/>
          <w:szCs w:val="32"/>
          <w:lang w:eastAsia="zh-CN"/>
        </w:rPr>
        <w:t>开展</w:t>
      </w:r>
      <w:r>
        <w:rPr>
          <w:rFonts w:hint="eastAsia" w:ascii="仿宋" w:hAnsi="仿宋" w:eastAsia="仿宋" w:cs="仿宋"/>
          <w:color w:val="000000"/>
          <w:sz w:val="32"/>
          <w:szCs w:val="32"/>
        </w:rPr>
        <w:t>现场核查。现场核查通过察看现场、与相关人员座谈等方式，遵循客观、公平、公正、保密的原则进行。其现场核查的主要内容是：</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1.核查申报机构各项材料的真实性</w:t>
      </w:r>
      <w:r>
        <w:rPr>
          <w:rFonts w:hint="eastAsia" w:ascii="仿宋" w:hAnsi="仿宋" w:eastAsia="仿宋" w:cs="仿宋"/>
          <w:color w:val="000000"/>
          <w:sz w:val="32"/>
          <w:szCs w:val="32"/>
          <w:lang w:eastAsia="zh-CN"/>
        </w:rPr>
        <w:t>；</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2.审查申报机构的人员、场地、设施等资源条件是否满足规定要求</w:t>
      </w:r>
      <w:r>
        <w:rPr>
          <w:rFonts w:hint="eastAsia" w:ascii="仿宋" w:hAnsi="仿宋" w:eastAsia="仿宋" w:cs="仿宋"/>
          <w:color w:val="000000"/>
          <w:sz w:val="32"/>
          <w:szCs w:val="32"/>
          <w:lang w:eastAsia="zh-CN"/>
        </w:rPr>
        <w:t>；</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华文仿宋" w:eastAsia="仿宋"/>
          <w:color w:val="000000"/>
          <w:sz w:val="32"/>
          <w:szCs w:val="32"/>
          <w:lang w:eastAsia="zh-CN"/>
        </w:rPr>
      </w:pPr>
      <w:r>
        <w:rPr>
          <w:rFonts w:hint="eastAsia" w:ascii="仿宋" w:hAnsi="仿宋" w:eastAsia="仿宋" w:cs="仿宋"/>
          <w:color w:val="000000"/>
          <w:sz w:val="32"/>
          <w:szCs w:val="32"/>
        </w:rPr>
        <w:t>3.对申报机构的规模、能力和管理水平进行综合评定</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（二）集中评审及公告</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000000"/>
          <w:sz w:val="32"/>
          <w:szCs w:val="32"/>
        </w:rPr>
        <w:t>1.评审专家组成。评审专家组</w:t>
      </w:r>
      <w:r>
        <w:rPr>
          <w:rFonts w:hint="eastAsia" w:ascii="仿宋" w:hAnsi="仿宋" w:eastAsia="仿宋" w:cs="仿宋"/>
          <w:color w:val="000000"/>
          <w:sz w:val="32"/>
          <w:szCs w:val="32"/>
          <w:lang w:eastAsia="zh-CN"/>
        </w:rPr>
        <w:t>由</w:t>
      </w:r>
      <w:r>
        <w:rPr>
          <w:rFonts w:hint="eastAsia" w:ascii="仿宋" w:hAnsi="仿宋" w:eastAsia="仿宋" w:cs="仿宋"/>
          <w:color w:val="000000"/>
          <w:sz w:val="32"/>
          <w:szCs w:val="32"/>
          <w:lang w:val="en-US" w:eastAsia="zh-CN"/>
        </w:rPr>
        <w:t>广东省药品监督管理局统筹组建</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lang w:val="en-US" w:eastAsia="zh-CN"/>
        </w:rPr>
        <w:t>接受省局纪检部门</w:t>
      </w:r>
      <w:r>
        <w:rPr>
          <w:rFonts w:hint="eastAsia" w:ascii="仿宋" w:hAnsi="仿宋" w:eastAsia="仿宋" w:cs="仿宋"/>
          <w:color w:val="auto"/>
          <w:sz w:val="32"/>
          <w:szCs w:val="32"/>
        </w:rPr>
        <w:t>监督。</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专家对申报机构</w:t>
      </w:r>
      <w:r>
        <w:rPr>
          <w:rFonts w:hint="eastAsia" w:ascii="仿宋" w:hAnsi="仿宋" w:eastAsia="仿宋" w:cs="仿宋"/>
          <w:color w:val="000000"/>
          <w:sz w:val="32"/>
          <w:szCs w:val="32"/>
          <w:lang w:eastAsia="zh-CN"/>
        </w:rPr>
        <w:t>材料</w:t>
      </w:r>
      <w:r>
        <w:rPr>
          <w:rFonts w:hint="eastAsia" w:ascii="仿宋" w:hAnsi="仿宋" w:eastAsia="仿宋" w:cs="仿宋"/>
          <w:color w:val="000000"/>
          <w:sz w:val="32"/>
          <w:szCs w:val="32"/>
        </w:rPr>
        <w:t>进行集中评审，依次遴选评审出得分最高</w:t>
      </w:r>
      <w:r>
        <w:rPr>
          <w:rFonts w:hint="eastAsia" w:ascii="仿宋" w:hAnsi="仿宋" w:eastAsia="仿宋" w:cs="仿宋"/>
          <w:color w:val="000000"/>
          <w:sz w:val="32"/>
          <w:szCs w:val="32"/>
          <w:lang w:eastAsia="zh-CN"/>
        </w:rPr>
        <w:t>的</w:t>
      </w:r>
      <w:r>
        <w:rPr>
          <w:rFonts w:hint="eastAsia" w:ascii="仿宋" w:hAnsi="仿宋" w:eastAsia="仿宋" w:cs="仿宋"/>
          <w:color w:val="auto"/>
          <w:sz w:val="32"/>
          <w:szCs w:val="32"/>
          <w:highlight w:val="none"/>
          <w:lang w:val="en-US" w:eastAsia="zh-CN"/>
        </w:rPr>
        <w:t>1家面授、1家网络远程</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广东省</w:t>
      </w:r>
      <w:r>
        <w:rPr>
          <w:rFonts w:hint="eastAsia" w:ascii="仿宋" w:hAnsi="仿宋" w:eastAsia="仿宋" w:cs="仿宋"/>
          <w:color w:val="auto"/>
          <w:sz w:val="32"/>
          <w:szCs w:val="32"/>
        </w:rPr>
        <w:t>执业</w:t>
      </w:r>
      <w:r>
        <w:rPr>
          <w:rFonts w:hint="eastAsia" w:ascii="仿宋" w:hAnsi="仿宋" w:eastAsia="仿宋" w:cs="仿宋"/>
          <w:color w:val="000000"/>
          <w:sz w:val="32"/>
          <w:szCs w:val="32"/>
        </w:rPr>
        <w:t>药师继续教育施教机构。</w:t>
      </w:r>
    </w:p>
    <w:p>
      <w:pPr>
        <w:pStyle w:val="21"/>
        <w:spacing w:line="560" w:lineRule="exact"/>
        <w:ind w:firstLine="640"/>
        <w:rPr>
          <w:rFonts w:hint="eastAsia" w:ascii="黑体" w:hAnsi="黑体" w:eastAsia="黑体"/>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遴选结果对外公告</w:t>
      </w:r>
      <w:r>
        <w:rPr>
          <w:rFonts w:hint="eastAsia" w:ascii="仿宋" w:hAnsi="仿宋" w:eastAsia="仿宋" w:cs="仿宋"/>
          <w:color w:val="000000"/>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640" w:firstLineChars="0"/>
        <w:textAlignment w:val="auto"/>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4.参加本次遴选活动所提交的材料不予退回。</w:t>
      </w:r>
    </w:p>
    <w:p>
      <w:pPr>
        <w:pStyle w:val="2"/>
        <w:ind w:firstLine="640"/>
        <w:rPr>
          <w:rFonts w:hint="eastAsia" w:ascii="仿宋" w:hAnsi="仿宋" w:eastAsia="仿宋" w:cs="仿宋"/>
          <w:color w:val="000000"/>
          <w:kern w:val="2"/>
          <w:sz w:val="32"/>
          <w:szCs w:val="32"/>
          <w:lang w:val="en-US" w:eastAsia="zh-CN"/>
        </w:rPr>
      </w:pPr>
      <w:r>
        <w:rPr>
          <w:rFonts w:hint="eastAsia" w:ascii="仿宋" w:hAnsi="仿宋" w:eastAsia="仿宋" w:cs="仿宋"/>
          <w:color w:val="000000"/>
          <w:kern w:val="2"/>
          <w:sz w:val="32"/>
          <w:szCs w:val="32"/>
          <w:lang w:val="en-US" w:eastAsia="zh-CN"/>
        </w:rPr>
        <w:t>5.本次遴选活动最终解释权归广东省药品监督管理局所有。</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1918" w:leftChars="266" w:hanging="1280" w:hangingChars="400"/>
        <w:textAlignment w:val="auto"/>
        <w:rPr>
          <w:rFonts w:hint="eastAsia" w:ascii="仿宋" w:hAnsi="仿宋" w:eastAsia="仿宋" w:cs="仿宋"/>
          <w:color w:val="000000"/>
          <w:sz w:val="32"/>
          <w:szCs w:val="32"/>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1918" w:leftChars="266" w:hanging="1280" w:hangingChars="4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附件：1.</w:t>
      </w:r>
      <w:r>
        <w:rPr>
          <w:rFonts w:hint="eastAsia" w:ascii="仿宋" w:hAnsi="仿宋" w:eastAsia="仿宋" w:cs="仿宋"/>
          <w:color w:val="000000"/>
          <w:sz w:val="32"/>
          <w:szCs w:val="32"/>
          <w:lang w:val="en-US" w:eastAsia="zh-CN"/>
        </w:rPr>
        <w:t>2025年</w:t>
      </w:r>
      <w:r>
        <w:rPr>
          <w:rFonts w:hint="eastAsia" w:ascii="仿宋" w:hAnsi="仿宋" w:eastAsia="仿宋" w:cs="仿宋"/>
          <w:color w:val="000000"/>
          <w:sz w:val="32"/>
          <w:szCs w:val="32"/>
          <w:lang w:eastAsia="zh-CN"/>
        </w:rPr>
        <w:t>广东</w:t>
      </w:r>
      <w:r>
        <w:rPr>
          <w:rFonts w:hint="eastAsia" w:ascii="仿宋" w:hAnsi="仿宋" w:eastAsia="仿宋" w:cs="仿宋"/>
          <w:color w:val="000000"/>
          <w:sz w:val="32"/>
          <w:szCs w:val="32"/>
        </w:rPr>
        <w:t>省执业药师继续教育施教机构申报表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2.机构人员配置表</w:t>
      </w:r>
    </w:p>
    <w:p>
      <w:pPr>
        <w:keepNext w:val="0"/>
        <w:keepLines w:val="0"/>
        <w:pageBreakBefore w:val="0"/>
        <w:widowControl w:val="0"/>
        <w:kinsoku/>
        <w:wordWrap/>
        <w:overflowPunct/>
        <w:topLinePunct w:val="0"/>
        <w:autoSpaceDE/>
        <w:autoSpaceDN/>
        <w:bidi w:val="0"/>
        <w:adjustRightInd/>
        <w:snapToGrid/>
        <w:spacing w:line="560" w:lineRule="exact"/>
        <w:ind w:left="1916" w:leftChars="665" w:hanging="320" w:hangingChars="1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2025年</w:t>
      </w:r>
      <w:r>
        <w:rPr>
          <w:rFonts w:hint="eastAsia" w:ascii="仿宋" w:hAnsi="仿宋" w:eastAsia="仿宋" w:cs="仿宋"/>
          <w:color w:val="000000"/>
          <w:sz w:val="32"/>
          <w:szCs w:val="32"/>
          <w:lang w:eastAsia="zh-CN"/>
        </w:rPr>
        <w:t>广东</w:t>
      </w:r>
      <w:r>
        <w:rPr>
          <w:rFonts w:hint="eastAsia" w:ascii="仿宋" w:hAnsi="仿宋" w:eastAsia="仿宋" w:cs="仿宋"/>
          <w:color w:val="000000"/>
          <w:sz w:val="32"/>
          <w:szCs w:val="32"/>
        </w:rPr>
        <w:t>省执业药师继续教育施教机构资质审核表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面授</w:t>
      </w:r>
      <w:r>
        <w:rPr>
          <w:rFonts w:hint="eastAsia" w:ascii="仿宋" w:hAnsi="仿宋" w:eastAsia="仿宋" w:cs="仿宋"/>
          <w:color w:val="000000"/>
          <w:sz w:val="32"/>
          <w:szCs w:val="32"/>
          <w:lang w:eastAsia="zh-CN"/>
        </w:rPr>
        <w:t>）</w:t>
      </w:r>
    </w:p>
    <w:p>
      <w:pPr>
        <w:pStyle w:val="2"/>
        <w:ind w:left="1920" w:hanging="1920" w:hangingChars="600"/>
        <w:rPr>
          <w:rFonts w:hint="eastAsia" w:eastAsia="仿宋"/>
          <w:lang w:val="en-US" w:eastAsia="zh-CN"/>
        </w:rPr>
      </w:pPr>
      <w:r>
        <w:rPr>
          <w:rFonts w:hint="eastAsia" w:ascii="仿宋" w:hAnsi="仿宋" w:eastAsia="仿宋" w:cs="仿宋"/>
          <w:color w:val="000000"/>
          <w:sz w:val="32"/>
          <w:szCs w:val="32"/>
          <w:lang w:val="en-US" w:eastAsia="zh-CN"/>
        </w:rPr>
        <w:t xml:space="preserve">          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2025年</w:t>
      </w:r>
      <w:r>
        <w:rPr>
          <w:rFonts w:hint="eastAsia" w:ascii="仿宋" w:hAnsi="仿宋" w:eastAsia="仿宋" w:cs="仿宋"/>
          <w:color w:val="000000"/>
          <w:sz w:val="32"/>
          <w:szCs w:val="32"/>
          <w:lang w:eastAsia="zh-CN"/>
        </w:rPr>
        <w:t>广东</w:t>
      </w:r>
      <w:r>
        <w:rPr>
          <w:rFonts w:hint="eastAsia" w:ascii="仿宋" w:hAnsi="仿宋" w:eastAsia="仿宋" w:cs="仿宋"/>
          <w:color w:val="000000"/>
          <w:sz w:val="32"/>
          <w:szCs w:val="32"/>
        </w:rPr>
        <w:t>省执业药师继续教育施教机构资质审核表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远程</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ascii="仿宋_GB2312" w:hAnsi="华文仿宋" w:eastAsia="仿宋_GB2312"/>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000000"/>
          <w:sz w:val="36"/>
          <w:szCs w:val="36"/>
        </w:rPr>
      </w:pPr>
      <w:r>
        <w:rPr>
          <w:rFonts w:hint="eastAsia" w:ascii="微软雅黑" w:hAnsi="微软雅黑" w:eastAsia="微软雅黑" w:cs="微软雅黑"/>
          <w:color w:val="000000"/>
          <w:sz w:val="36"/>
          <w:szCs w:val="36"/>
          <w:lang w:val="en-US" w:eastAsia="zh-CN"/>
        </w:rPr>
        <w:t>2025年</w:t>
      </w:r>
      <w:r>
        <w:rPr>
          <w:rFonts w:hint="eastAsia" w:ascii="微软雅黑" w:hAnsi="微软雅黑" w:eastAsia="微软雅黑" w:cs="微软雅黑"/>
          <w:color w:val="000000"/>
          <w:sz w:val="36"/>
          <w:szCs w:val="36"/>
          <w:lang w:eastAsia="zh-CN"/>
        </w:rPr>
        <w:t>广东</w:t>
      </w:r>
      <w:r>
        <w:rPr>
          <w:rFonts w:hint="eastAsia" w:ascii="微软雅黑" w:hAnsi="微软雅黑" w:eastAsia="微软雅黑" w:cs="微软雅黑"/>
          <w:color w:val="000000"/>
          <w:sz w:val="36"/>
          <w:szCs w:val="36"/>
        </w:rPr>
        <w:t>省执业药师继续教育施教机构申报表</w:t>
      </w:r>
    </w:p>
    <w:tbl>
      <w:tblPr>
        <w:tblStyle w:val="11"/>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485"/>
        <w:gridCol w:w="945"/>
        <w:gridCol w:w="1920"/>
        <w:gridCol w:w="1425"/>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机构</w:t>
            </w:r>
            <w:r>
              <w:rPr>
                <w:rFonts w:hint="eastAsia" w:ascii="仿宋" w:hAnsi="仿宋" w:eastAsia="仿宋" w:cs="仿宋"/>
                <w:color w:val="auto"/>
                <w:sz w:val="28"/>
                <w:szCs w:val="28"/>
              </w:rPr>
              <w:t>名称</w:t>
            </w:r>
          </w:p>
        </w:tc>
        <w:tc>
          <w:tcPr>
            <w:tcW w:w="435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c>
          <w:tcPr>
            <w:tcW w:w="14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r>
              <w:rPr>
                <w:rFonts w:hint="eastAsia" w:ascii="仿宋" w:hAnsi="仿宋" w:eastAsia="仿宋" w:cs="仿宋"/>
                <w:color w:val="auto"/>
                <w:sz w:val="28"/>
                <w:szCs w:val="28"/>
              </w:rPr>
              <w:t>申报</w:t>
            </w:r>
            <w:r>
              <w:rPr>
                <w:rFonts w:hint="eastAsia" w:ascii="仿宋" w:hAnsi="仿宋" w:eastAsia="仿宋" w:cs="仿宋"/>
                <w:color w:val="auto"/>
                <w:sz w:val="28"/>
                <w:szCs w:val="28"/>
                <w:lang w:val="en-US" w:eastAsia="zh-CN"/>
              </w:rPr>
              <w:t>类别</w:t>
            </w:r>
          </w:p>
        </w:tc>
        <w:tc>
          <w:tcPr>
            <w:tcW w:w="244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面授</w:t>
            </w:r>
            <w:r>
              <w:rPr>
                <w:rFonts w:hint="eastAsia" w:ascii="仿宋" w:hAnsi="仿宋" w:eastAsia="仿宋" w:cs="仿宋"/>
                <w:color w:val="000000"/>
                <w:sz w:val="28"/>
                <w:szCs w:val="28"/>
                <w:lang w:val="en-US" w:eastAsia="zh-CN"/>
              </w:rPr>
              <w:sym w:font="Wingdings" w:char="00A8"/>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远程（网络）</w:t>
            </w:r>
            <w:r>
              <w:rPr>
                <w:rFonts w:hint="eastAsia" w:ascii="仿宋" w:hAnsi="仿宋" w:eastAsia="仿宋" w:cs="仿宋"/>
                <w:color w:val="000000"/>
                <w:sz w:val="28"/>
                <w:szCs w:val="28"/>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通讯地址</w:t>
            </w:r>
          </w:p>
        </w:tc>
        <w:tc>
          <w:tcPr>
            <w:tcW w:w="8219" w:type="dxa"/>
            <w:gridSpan w:val="5"/>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法人代表</w:t>
            </w:r>
          </w:p>
        </w:tc>
        <w:tc>
          <w:tcPr>
            <w:tcW w:w="148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c>
          <w:tcPr>
            <w:tcW w:w="9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职务</w:t>
            </w:r>
          </w:p>
        </w:tc>
        <w:tc>
          <w:tcPr>
            <w:tcW w:w="19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c>
          <w:tcPr>
            <w:tcW w:w="14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tc>
        <w:tc>
          <w:tcPr>
            <w:tcW w:w="24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联系人</w:t>
            </w:r>
          </w:p>
        </w:tc>
        <w:tc>
          <w:tcPr>
            <w:tcW w:w="148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c>
          <w:tcPr>
            <w:tcW w:w="9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职务</w:t>
            </w:r>
          </w:p>
        </w:tc>
        <w:tc>
          <w:tcPr>
            <w:tcW w:w="19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c>
          <w:tcPr>
            <w:tcW w:w="14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p>
        </w:tc>
        <w:tc>
          <w:tcPr>
            <w:tcW w:w="244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w:t>
            </w:r>
          </w:p>
        </w:tc>
        <w:tc>
          <w:tcPr>
            <w:tcW w:w="8219"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许可范围</w:t>
            </w:r>
          </w:p>
        </w:tc>
        <w:tc>
          <w:tcPr>
            <w:tcW w:w="8219"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施教机构</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简</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介</w:t>
            </w:r>
          </w:p>
        </w:tc>
        <w:tc>
          <w:tcPr>
            <w:tcW w:w="8219" w:type="dxa"/>
            <w:gridSpan w:val="5"/>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8"/>
                <w:szCs w:val="28"/>
              </w:rPr>
            </w:pPr>
            <w:r>
              <w:rPr>
                <w:rFonts w:hint="eastAsia" w:ascii="仿宋" w:hAnsi="仿宋" w:eastAsia="仿宋" w:cs="仿宋"/>
                <w:color w:val="auto"/>
                <w:sz w:val="28"/>
                <w:szCs w:val="28"/>
              </w:rPr>
              <w:t>申报承诺</w:t>
            </w:r>
          </w:p>
        </w:tc>
        <w:tc>
          <w:tcPr>
            <w:tcW w:w="8219" w:type="dxa"/>
            <w:gridSpan w:val="5"/>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i w:val="0"/>
                <w:iCs w:val="0"/>
                <w:caps w:val="0"/>
                <w:color w:val="000000"/>
                <w:spacing w:val="0"/>
                <w:sz w:val="28"/>
                <w:szCs w:val="28"/>
                <w:shd w:val="clear"/>
                <w:lang w:bidi="ar-SA"/>
              </w:rPr>
            </w:pPr>
            <w:r>
              <w:rPr>
                <w:rFonts w:hint="eastAsia" w:ascii="仿宋" w:hAnsi="仿宋" w:eastAsia="仿宋" w:cs="仿宋"/>
                <w:color w:val="000000"/>
                <w:sz w:val="28"/>
                <w:szCs w:val="28"/>
              </w:rPr>
              <w:t>我单位自愿申报</w:t>
            </w:r>
            <w:r>
              <w:rPr>
                <w:rFonts w:hint="eastAsia" w:ascii="仿宋" w:hAnsi="仿宋" w:eastAsia="仿宋" w:cs="仿宋"/>
                <w:color w:val="000000"/>
                <w:sz w:val="28"/>
                <w:szCs w:val="28"/>
                <w:lang w:eastAsia="zh-CN"/>
              </w:rPr>
              <w:t>广东</w:t>
            </w:r>
            <w:r>
              <w:rPr>
                <w:rFonts w:hint="eastAsia" w:ascii="仿宋" w:hAnsi="仿宋" w:eastAsia="仿宋" w:cs="仿宋"/>
                <w:color w:val="000000"/>
                <w:sz w:val="28"/>
                <w:szCs w:val="28"/>
              </w:rPr>
              <w:t>省执业药师继续教育施教机构资格</w:t>
            </w:r>
            <w:r>
              <w:rPr>
                <w:rFonts w:hint="eastAsia" w:ascii="仿宋" w:hAnsi="仿宋" w:eastAsia="仿宋" w:cs="仿宋"/>
                <w:color w:val="000000"/>
                <w:sz w:val="28"/>
                <w:szCs w:val="28"/>
                <w:lang w:eastAsia="zh-CN"/>
              </w:rPr>
              <w:t>，</w:t>
            </w:r>
            <w:r>
              <w:rPr>
                <w:rFonts w:hint="eastAsia" w:ascii="仿宋" w:hAnsi="仿宋" w:eastAsia="仿宋" w:cs="仿宋"/>
                <w:i w:val="0"/>
                <w:iCs w:val="0"/>
                <w:caps w:val="0"/>
                <w:color w:val="000000"/>
                <w:spacing w:val="0"/>
                <w:sz w:val="28"/>
                <w:szCs w:val="28"/>
                <w:shd w:val="clear"/>
                <w:lang w:bidi="ar-SA"/>
              </w:rPr>
              <w:t>承诺所提交的所有文件资料均真实、合法、有效，与实际情况一致。如申报资料有虚假、伪造等情形，我单位承担相应责任及后果。</w:t>
            </w:r>
          </w:p>
          <w:p>
            <w:pPr>
              <w:pStyle w:val="9"/>
              <w:widowControl/>
              <w:shd w:val="clear" w:color="auto" w:fill="auto"/>
              <w:spacing w:before="0" w:beforeAutospacing="0" w:after="0" w:afterAutospacing="0" w:line="380" w:lineRule="exact"/>
              <w:ind w:firstLine="0" w:firstLineChars="0"/>
              <w:jc w:val="left"/>
              <w:rPr>
                <w:rFonts w:hint="eastAsia" w:ascii="仿宋" w:hAnsi="仿宋" w:eastAsia="仿宋" w:cs="仿宋"/>
                <w:color w:val="000000"/>
                <w:sz w:val="28"/>
                <w:szCs w:val="28"/>
                <w:lang w:bidi="ar-SA"/>
              </w:rPr>
            </w:pPr>
          </w:p>
          <w:p>
            <w:pPr>
              <w:pStyle w:val="9"/>
              <w:widowControl/>
              <w:shd w:val="clear" w:color="auto" w:fill="auto"/>
              <w:spacing w:before="0" w:beforeAutospacing="0" w:after="0" w:afterAutospacing="0" w:line="380" w:lineRule="exact"/>
              <w:ind w:firstLine="4200" w:firstLineChars="1500"/>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bidi="ar-SA"/>
              </w:rPr>
              <w:t>法人</w:t>
            </w:r>
            <w:r>
              <w:rPr>
                <w:rFonts w:hint="eastAsia" w:ascii="仿宋" w:hAnsi="仿宋" w:eastAsia="仿宋" w:cs="仿宋"/>
                <w:color w:val="000000"/>
                <w:sz w:val="28"/>
                <w:szCs w:val="28"/>
                <w:lang w:val="en-US" w:eastAsia="zh-CN" w:bidi="ar-SA"/>
              </w:rPr>
              <w:t>代表</w:t>
            </w:r>
            <w:r>
              <w:rPr>
                <w:rFonts w:hint="eastAsia" w:ascii="仿宋" w:hAnsi="仿宋" w:eastAsia="仿宋" w:cs="仿宋"/>
                <w:color w:val="000000"/>
                <w:sz w:val="28"/>
                <w:szCs w:val="28"/>
                <w:lang w:bidi="ar-SA"/>
              </w:rPr>
              <w:t>签字</w:t>
            </w:r>
            <w:r>
              <w:rPr>
                <w:rFonts w:hint="eastAsia" w:ascii="仿宋" w:hAnsi="仿宋" w:eastAsia="仿宋" w:cs="仿宋"/>
                <w:color w:val="000000"/>
                <w:sz w:val="28"/>
                <w:szCs w:val="28"/>
                <w:lang w:eastAsia="zh-CN" w:bidi="ar-SA"/>
              </w:rPr>
              <w:t>：</w:t>
            </w:r>
          </w:p>
          <w:p>
            <w:pPr>
              <w:pStyle w:val="9"/>
              <w:widowControl/>
              <w:shd w:val="clear" w:color="auto" w:fill="auto"/>
              <w:spacing w:before="0" w:beforeAutospacing="0" w:after="0" w:afterAutospacing="0" w:line="380" w:lineRule="exact"/>
              <w:ind w:firstLine="4200" w:firstLineChars="1500"/>
              <w:jc w:val="left"/>
              <w:rPr>
                <w:rFonts w:hint="eastAsia" w:ascii="仿宋" w:hAnsi="仿宋" w:eastAsia="仿宋" w:cs="仿宋"/>
                <w:color w:val="000000"/>
                <w:sz w:val="28"/>
                <w:szCs w:val="28"/>
                <w:lang w:bidi="ar-SA"/>
              </w:rPr>
            </w:pPr>
            <w:r>
              <w:rPr>
                <w:rFonts w:hint="eastAsia" w:ascii="仿宋" w:hAnsi="仿宋" w:eastAsia="仿宋" w:cs="仿宋"/>
                <w:color w:val="000000"/>
                <w:sz w:val="28"/>
                <w:szCs w:val="28"/>
                <w:lang w:val="en-US" w:eastAsia="zh-CN" w:bidi="ar-SA"/>
              </w:rPr>
              <w:t>申请</w:t>
            </w:r>
            <w:r>
              <w:rPr>
                <w:rFonts w:hint="eastAsia" w:ascii="仿宋" w:hAnsi="仿宋" w:eastAsia="仿宋" w:cs="仿宋"/>
                <w:color w:val="000000"/>
                <w:sz w:val="28"/>
                <w:szCs w:val="28"/>
                <w:lang w:bidi="ar-SA"/>
              </w:rPr>
              <w:t>单位公章</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000000"/>
                <w:spacing w:val="0"/>
                <w:sz w:val="28"/>
                <w:szCs w:val="28"/>
                <w:shd w:val="clear"/>
                <w:lang w:bidi="ar-SA"/>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  月   日</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r>
        <w:rPr>
          <w:rFonts w:hint="eastAsia" w:ascii="黑体" w:hAnsi="黑体" w:eastAsia="黑体" w:cs="黑体"/>
          <w:color w:val="000000"/>
          <w:sz w:val="32"/>
          <w:szCs w:val="32"/>
        </w:rPr>
        <w:t>：</w:t>
      </w:r>
    </w:p>
    <w:p>
      <w:pPr>
        <w:widowControl w:val="0"/>
        <w:jc w:val="center"/>
        <w:rPr>
          <w:rFonts w:hint="eastAsia" w:ascii="微软雅黑" w:hAnsi="微软雅黑" w:eastAsia="微软雅黑" w:cs="微软雅黑"/>
          <w:color w:val="000000"/>
          <w:sz w:val="36"/>
          <w:szCs w:val="36"/>
        </w:rPr>
      </w:pPr>
      <w:r>
        <w:rPr>
          <w:rFonts w:hint="eastAsia" w:ascii="微软雅黑" w:hAnsi="微软雅黑" w:eastAsia="微软雅黑" w:cs="微软雅黑"/>
          <w:color w:val="000000"/>
          <w:sz w:val="36"/>
          <w:szCs w:val="36"/>
        </w:rPr>
        <w:t>机构</w:t>
      </w:r>
      <w:r>
        <w:rPr>
          <w:rFonts w:hint="eastAsia" w:ascii="微软雅黑" w:hAnsi="微软雅黑" w:eastAsia="微软雅黑" w:cs="微软雅黑"/>
          <w:color w:val="000000"/>
          <w:sz w:val="36"/>
          <w:szCs w:val="36"/>
          <w:lang w:val="en-US" w:eastAsia="zh-CN"/>
        </w:rPr>
        <w:t>人员配置</w:t>
      </w:r>
      <w:r>
        <w:rPr>
          <w:rFonts w:hint="eastAsia" w:ascii="微软雅黑" w:hAnsi="微软雅黑" w:eastAsia="微软雅黑" w:cs="微软雅黑"/>
          <w:color w:val="000000"/>
          <w:sz w:val="36"/>
          <w:szCs w:val="36"/>
        </w:rPr>
        <w:t>表</w:t>
      </w:r>
    </w:p>
    <w:tbl>
      <w:tblPr>
        <w:tblStyle w:val="11"/>
        <w:tblW w:w="5700" w:type="pct"/>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7"/>
        <w:gridCol w:w="981"/>
        <w:gridCol w:w="669"/>
        <w:gridCol w:w="646"/>
        <w:gridCol w:w="1159"/>
        <w:gridCol w:w="1160"/>
        <w:gridCol w:w="1662"/>
        <w:gridCol w:w="1108"/>
        <w:gridCol w:w="1339"/>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1" w:hRule="atLeast"/>
        </w:trPr>
        <w:tc>
          <w:tcPr>
            <w:tcW w:w="8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
              <w:jc w:val="center"/>
              <w:rPr>
                <w:rFonts w:hint="eastAsia" w:ascii="仿宋" w:hAnsi="仿宋" w:eastAsia="仿宋" w:cs="仿宋"/>
                <w:lang w:val="en-US" w:eastAsia="zh-CN"/>
              </w:rPr>
            </w:pPr>
            <w:r>
              <w:rPr>
                <w:rFonts w:hint="eastAsia" w:ascii="仿宋" w:hAnsi="仿宋" w:eastAsia="仿宋" w:cs="仿宋"/>
                <w:color w:val="auto"/>
                <w:sz w:val="24"/>
                <w:szCs w:val="24"/>
                <w:lang w:val="en-US" w:eastAsia="zh-CN"/>
              </w:rPr>
              <w:t>机构名称</w:t>
            </w:r>
          </w:p>
        </w:tc>
        <w:tc>
          <w:tcPr>
            <w:tcW w:w="182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
              <w:jc w:val="center"/>
              <w:rPr>
                <w:rFonts w:hint="eastAsia" w:ascii="仿宋" w:hAnsi="仿宋" w:eastAsia="仿宋" w:cs="仿宋"/>
                <w:lang w:eastAsia="zh-CN"/>
              </w:rPr>
            </w:pP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jc w:val="center"/>
              <w:rPr>
                <w:rFonts w:hint="eastAsia" w:ascii="仿宋" w:hAnsi="仿宋" w:eastAsia="仿宋" w:cs="仿宋"/>
                <w:color w:val="auto"/>
                <w:sz w:val="24"/>
                <w:szCs w:val="24"/>
              </w:rPr>
            </w:pPr>
            <w:r>
              <w:rPr>
                <w:rFonts w:hint="eastAsia" w:ascii="仿宋" w:hAnsi="仿宋" w:eastAsia="仿宋" w:cs="仿宋"/>
                <w:color w:val="auto"/>
                <w:sz w:val="24"/>
                <w:szCs w:val="24"/>
              </w:rPr>
              <w:t>申报</w:t>
            </w:r>
          </w:p>
          <w:p>
            <w:pPr>
              <w:pStyle w:val="2"/>
              <w:jc w:val="center"/>
              <w:rPr>
                <w:rFonts w:hint="eastAsia" w:ascii="仿宋" w:hAnsi="仿宋" w:eastAsia="仿宋" w:cs="仿宋"/>
              </w:rPr>
            </w:pPr>
            <w:r>
              <w:rPr>
                <w:rFonts w:hint="eastAsia" w:ascii="仿宋" w:hAnsi="仿宋" w:eastAsia="仿宋" w:cs="仿宋"/>
                <w:color w:val="auto"/>
                <w:sz w:val="24"/>
                <w:szCs w:val="24"/>
                <w:lang w:val="en-US" w:eastAsia="zh-CN"/>
              </w:rPr>
              <w:t>类别</w:t>
            </w:r>
          </w:p>
        </w:tc>
        <w:tc>
          <w:tcPr>
            <w:tcW w:w="150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面授</w:t>
            </w:r>
            <w:r>
              <w:rPr>
                <w:rFonts w:hint="eastAsia" w:ascii="仿宋" w:hAnsi="仿宋" w:eastAsia="仿宋" w:cs="仿宋"/>
                <w:color w:val="000000"/>
                <w:sz w:val="24"/>
                <w:szCs w:val="24"/>
                <w:lang w:val="en-US" w:eastAsia="zh-CN"/>
              </w:rPr>
              <w:sym w:font="Wingdings" w:char="00A8"/>
            </w:r>
          </w:p>
          <w:p>
            <w:pPr>
              <w:pStyle w:val="2"/>
              <w:rPr>
                <w:rFonts w:hint="eastAsia" w:ascii="仿宋" w:hAnsi="仿宋" w:eastAsia="仿宋" w:cs="仿宋"/>
              </w:rPr>
            </w:pPr>
            <w:r>
              <w:rPr>
                <w:rFonts w:hint="eastAsia" w:ascii="仿宋" w:hAnsi="仿宋" w:eastAsia="仿宋" w:cs="仿宋"/>
                <w:color w:val="000000"/>
                <w:sz w:val="24"/>
                <w:szCs w:val="24"/>
              </w:rPr>
              <w:t>远程（网络）</w:t>
            </w:r>
            <w:r>
              <w:rPr>
                <w:rFonts w:hint="eastAsia" w:ascii="仿宋" w:hAnsi="仿宋" w:eastAsia="仿宋" w:cs="仿宋"/>
                <w:color w:val="000000"/>
                <w:sz w:val="24"/>
                <w:szCs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trPr>
        <w:tc>
          <w:tcPr>
            <w:tcW w:w="8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管理人员总数（人）</w:t>
            </w: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908"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稳定承担该</w:t>
            </w:r>
            <w:r>
              <w:rPr>
                <w:rFonts w:hint="eastAsia" w:ascii="仿宋" w:hAnsi="仿宋" w:eastAsia="仿宋" w:cs="仿宋"/>
                <w:kern w:val="2"/>
                <w:sz w:val="22"/>
                <w:szCs w:val="22"/>
                <w:lang w:val="en-US" w:eastAsia="zh-CN"/>
              </w:rPr>
              <w:t>机构教学</w:t>
            </w:r>
            <w:r>
              <w:rPr>
                <w:rFonts w:hint="eastAsia" w:ascii="仿宋" w:hAnsi="仿宋" w:eastAsia="仿宋" w:cs="仿宋"/>
                <w:kern w:val="2"/>
                <w:sz w:val="22"/>
                <w:szCs w:val="22"/>
              </w:rPr>
              <w:t>的教师总数（人）</w:t>
            </w: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lang w:val="en-US" w:eastAsia="zh-CN"/>
              </w:rPr>
              <w:t>专职</w:t>
            </w:r>
            <w:r>
              <w:rPr>
                <w:rFonts w:hint="eastAsia" w:ascii="仿宋" w:hAnsi="仿宋" w:eastAsia="仿宋" w:cs="仿宋"/>
                <w:kern w:val="2"/>
                <w:sz w:val="22"/>
                <w:szCs w:val="22"/>
              </w:rPr>
              <w:t>教师</w:t>
            </w:r>
          </w:p>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总数（人）</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67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eastAsia="zh-CN"/>
              </w:rPr>
            </w:pPr>
            <w:r>
              <w:rPr>
                <w:rFonts w:hint="eastAsia" w:ascii="仿宋" w:hAnsi="仿宋" w:eastAsia="仿宋" w:cs="仿宋"/>
                <w:kern w:val="2"/>
                <w:sz w:val="22"/>
                <w:szCs w:val="22"/>
                <w:lang w:val="en-US" w:eastAsia="zh-CN"/>
              </w:rPr>
              <w:t>兼职教师</w:t>
            </w:r>
          </w:p>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总数（人）</w:t>
            </w:r>
          </w:p>
        </w:tc>
        <w:tc>
          <w:tcPr>
            <w:tcW w:w="278"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trPr>
        <w:tc>
          <w:tcPr>
            <w:tcW w:w="330" w:type="pct"/>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_GB2312" w:hAnsi="Times New Roman" w:eastAsia="仿宋_GB2312" w:cs="仿宋_GB2312"/>
                <w:kern w:val="2"/>
                <w:sz w:val="22"/>
                <w:szCs w:val="22"/>
                <w:lang w:val="en-US" w:eastAsia="zh-CN"/>
              </w:rPr>
            </w:pPr>
            <w:r>
              <w:rPr>
                <w:rFonts w:hint="eastAsia" w:ascii="仿宋_GB2312" w:eastAsia="仿宋_GB2312" w:cs="仿宋_GB2312"/>
                <w:kern w:val="2"/>
                <w:sz w:val="22"/>
                <w:szCs w:val="22"/>
                <w:lang w:val="en-US" w:eastAsia="zh-CN"/>
              </w:rPr>
              <w:t>专职</w:t>
            </w:r>
          </w:p>
          <w:p>
            <w:pPr>
              <w:jc w:val="center"/>
              <w:rPr>
                <w:rFonts w:hint="eastAsia" w:ascii="仿宋" w:hAnsi="仿宋" w:eastAsia="仿宋" w:cs="仿宋"/>
                <w:kern w:val="2"/>
                <w:sz w:val="22"/>
                <w:szCs w:val="22"/>
              </w:rPr>
            </w:pPr>
            <w:r>
              <w:rPr>
                <w:rFonts w:hint="eastAsia" w:ascii="仿宋_GB2312" w:hAnsi="Times New Roman" w:eastAsia="仿宋_GB2312" w:cs="仿宋_GB2312"/>
                <w:kern w:val="2"/>
                <w:sz w:val="22"/>
                <w:szCs w:val="22"/>
              </w:rPr>
              <w:t>管理人员</w:t>
            </w: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姓名</w:t>
            </w: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出生年月</w:t>
            </w: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性别</w:t>
            </w:r>
          </w:p>
        </w:tc>
        <w:tc>
          <w:tcPr>
            <w:tcW w:w="1167"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学历/学位</w:t>
            </w: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lang w:val="en-US" w:eastAsia="zh-CN"/>
              </w:rPr>
              <w:t>部门/职务</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default" w:ascii="仿宋" w:hAnsi="仿宋" w:eastAsia="仿宋" w:cs="仿宋"/>
                <w:color w:val="auto"/>
                <w:kern w:val="2"/>
                <w:sz w:val="22"/>
                <w:szCs w:val="22"/>
                <w:lang w:val="en-US" w:eastAsia="zh-CN"/>
              </w:rPr>
            </w:pPr>
            <w:r>
              <w:rPr>
                <w:rFonts w:hint="eastAsia" w:ascii="仿宋" w:hAnsi="仿宋" w:eastAsia="仿宋" w:cs="仿宋"/>
                <w:color w:val="auto"/>
                <w:kern w:val="2"/>
                <w:sz w:val="22"/>
                <w:szCs w:val="22"/>
                <w:lang w:val="en-US" w:eastAsia="zh-CN"/>
              </w:rPr>
              <w:t>工作内容</w:t>
            </w: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trPr>
        <w:tc>
          <w:tcPr>
            <w:tcW w:w="330" w:type="pct"/>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kern w:val="2"/>
                <w:sz w:val="22"/>
                <w:szCs w:val="22"/>
              </w:rPr>
            </w:pP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1167"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color w:val="auto"/>
                <w:kern w:val="2"/>
                <w:sz w:val="22"/>
                <w:szCs w:val="22"/>
              </w:rPr>
            </w:pP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trPr>
        <w:tc>
          <w:tcPr>
            <w:tcW w:w="330" w:type="pct"/>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2"/>
                <w:szCs w:val="22"/>
              </w:rPr>
            </w:pP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1167"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…可</w:t>
            </w:r>
            <w:r>
              <w:rPr>
                <w:rFonts w:hint="eastAsia" w:ascii="仿宋" w:hAnsi="仿宋" w:eastAsia="仿宋" w:cs="仿宋"/>
                <w:kern w:val="2"/>
                <w:sz w:val="22"/>
                <w:szCs w:val="22"/>
                <w:lang w:val="en-US" w:eastAsia="zh-CN"/>
              </w:rPr>
              <w:t>加行</w:t>
            </w:r>
            <w:r>
              <w:rPr>
                <w:rFonts w:hint="eastAsia" w:ascii="仿宋" w:hAnsi="仿宋" w:eastAsia="仿宋" w:cs="仿宋"/>
                <w:kern w:val="2"/>
                <w:sz w:val="22"/>
                <w:szCs w:val="22"/>
              </w:rPr>
              <w:t>…</w:t>
            </w: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color w:val="auto"/>
                <w:kern w:val="2"/>
                <w:sz w:val="22"/>
                <w:szCs w:val="22"/>
              </w:rPr>
            </w:pP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trPr>
        <w:tc>
          <w:tcPr>
            <w:tcW w:w="330" w:type="pct"/>
            <w:vMerge w:val="restart"/>
            <w:tcBorders>
              <w:left w:val="single" w:color="auto" w:sz="4" w:space="0"/>
              <w:right w:val="single" w:color="auto" w:sz="4" w:space="0"/>
            </w:tcBorders>
            <w:shd w:val="clear" w:color="auto" w:fill="auto"/>
            <w:vAlign w:val="center"/>
          </w:tcPr>
          <w:p>
            <w:pPr>
              <w:tabs>
                <w:tab w:val="left" w:pos="514"/>
              </w:tabs>
              <w:jc w:val="left"/>
              <w:rPr>
                <w:rFonts w:hint="default" w:ascii="仿宋" w:hAnsi="仿宋" w:eastAsia="仿宋" w:cs="仿宋"/>
                <w:kern w:val="2"/>
                <w:sz w:val="22"/>
                <w:szCs w:val="22"/>
                <w:lang w:val="en-US" w:eastAsia="zh-CN"/>
              </w:rPr>
            </w:pPr>
            <w:r>
              <w:rPr>
                <w:rFonts w:hint="eastAsia" w:ascii="仿宋" w:hAnsi="仿宋" w:eastAsia="仿宋" w:cs="仿宋"/>
                <w:color w:val="auto"/>
                <w:kern w:val="2"/>
                <w:sz w:val="22"/>
                <w:szCs w:val="22"/>
                <w:lang w:val="en-US" w:eastAsia="zh-CN"/>
              </w:rPr>
              <w:t>辅助管理人员</w:t>
            </w: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姓名</w:t>
            </w: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出生年月</w:t>
            </w: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性别</w:t>
            </w: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学历/学位</w:t>
            </w: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default" w:ascii="仿宋" w:hAnsi="仿宋" w:eastAsia="仿宋" w:cs="仿宋"/>
                <w:kern w:val="2"/>
                <w:sz w:val="22"/>
                <w:szCs w:val="22"/>
                <w:lang w:val="en-US" w:eastAsia="zh-CN"/>
              </w:rPr>
            </w:pPr>
            <w:r>
              <w:rPr>
                <w:rFonts w:hint="eastAsia" w:ascii="仿宋" w:hAnsi="仿宋" w:eastAsia="仿宋" w:cs="仿宋"/>
                <w:color w:val="auto"/>
                <w:kern w:val="2"/>
                <w:sz w:val="22"/>
                <w:szCs w:val="22"/>
                <w:lang w:val="en-US" w:eastAsia="zh-CN"/>
              </w:rPr>
              <w:t>专兼职</w:t>
            </w: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rPr>
              <w:t>部门/职务</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color w:val="auto"/>
                <w:kern w:val="2"/>
                <w:sz w:val="22"/>
                <w:szCs w:val="22"/>
                <w:lang w:val="en-US" w:eastAsia="zh-CN"/>
              </w:rPr>
            </w:pPr>
            <w:r>
              <w:rPr>
                <w:rFonts w:hint="eastAsia" w:ascii="仿宋" w:hAnsi="仿宋" w:eastAsia="仿宋" w:cs="仿宋"/>
                <w:color w:val="auto"/>
                <w:kern w:val="2"/>
                <w:sz w:val="22"/>
                <w:szCs w:val="22"/>
                <w:lang w:val="en-US" w:eastAsia="zh-CN"/>
              </w:rPr>
              <w:t>工作内容</w:t>
            </w: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trPr>
        <w:tc>
          <w:tcPr>
            <w:tcW w:w="330" w:type="pct"/>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仿宋"/>
                <w:kern w:val="2"/>
                <w:sz w:val="22"/>
                <w:szCs w:val="22"/>
              </w:rPr>
            </w:pP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trPr>
        <w:tc>
          <w:tcPr>
            <w:tcW w:w="330" w:type="pct"/>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2"/>
                <w:sz w:val="22"/>
                <w:szCs w:val="22"/>
              </w:rPr>
            </w:pP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…可</w:t>
            </w:r>
            <w:r>
              <w:rPr>
                <w:rFonts w:hint="eastAsia" w:ascii="仿宋" w:hAnsi="仿宋" w:eastAsia="仿宋" w:cs="仿宋"/>
                <w:kern w:val="2"/>
                <w:sz w:val="22"/>
                <w:szCs w:val="22"/>
                <w:lang w:val="en-US" w:eastAsia="zh-CN"/>
              </w:rPr>
              <w:t>加行</w:t>
            </w:r>
            <w:r>
              <w:rPr>
                <w:rFonts w:hint="eastAsia" w:ascii="仿宋" w:hAnsi="仿宋" w:eastAsia="仿宋" w:cs="仿宋"/>
                <w:kern w:val="2"/>
                <w:sz w:val="22"/>
                <w:szCs w:val="22"/>
              </w:rPr>
              <w:t>…</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7" w:hRule="atLeast"/>
        </w:trPr>
        <w:tc>
          <w:tcPr>
            <w:tcW w:w="33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p>
            <w:pPr>
              <w:jc w:val="center"/>
              <w:rPr>
                <w:rFonts w:hint="eastAsia" w:ascii="仿宋" w:hAnsi="仿宋" w:eastAsia="仿宋" w:cs="仿宋"/>
                <w:kern w:val="2"/>
                <w:sz w:val="22"/>
                <w:szCs w:val="22"/>
                <w:lang w:eastAsia="zh-CN"/>
              </w:rPr>
            </w:pPr>
            <w:r>
              <w:rPr>
                <w:rFonts w:hint="eastAsia" w:ascii="仿宋" w:hAnsi="仿宋" w:eastAsia="仿宋" w:cs="仿宋"/>
                <w:kern w:val="2"/>
                <w:sz w:val="22"/>
                <w:szCs w:val="22"/>
                <w:lang w:val="en-US" w:eastAsia="zh-CN"/>
              </w:rPr>
              <w:t>专职</w:t>
            </w:r>
          </w:p>
          <w:p>
            <w:pPr>
              <w:jc w:val="center"/>
              <w:rPr>
                <w:rFonts w:hint="eastAsia" w:ascii="仿宋" w:hAnsi="仿宋" w:eastAsia="仿宋" w:cs="仿宋"/>
                <w:kern w:val="0"/>
                <w:sz w:val="24"/>
                <w:szCs w:val="24"/>
              </w:rPr>
            </w:pPr>
            <w:r>
              <w:rPr>
                <w:rFonts w:hint="eastAsia" w:ascii="仿宋" w:hAnsi="仿宋" w:eastAsia="仿宋" w:cs="仿宋"/>
                <w:kern w:val="2"/>
                <w:sz w:val="22"/>
                <w:szCs w:val="22"/>
              </w:rPr>
              <w:t>教师</w:t>
            </w: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姓名</w:t>
            </w: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出生年月</w:t>
            </w: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性别</w:t>
            </w: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职称</w:t>
            </w: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学历/学位</w:t>
            </w: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default" w:ascii="仿宋" w:hAnsi="仿宋" w:eastAsia="仿宋" w:cs="仿宋"/>
                <w:kern w:val="2"/>
                <w:sz w:val="22"/>
                <w:szCs w:val="22"/>
                <w:lang w:val="en-US" w:eastAsia="zh-CN"/>
              </w:rPr>
            </w:pPr>
            <w:r>
              <w:rPr>
                <w:rFonts w:hint="eastAsia" w:ascii="仿宋" w:hAnsi="仿宋" w:eastAsia="仿宋" w:cs="仿宋"/>
                <w:kern w:val="2"/>
                <w:sz w:val="22"/>
                <w:szCs w:val="22"/>
              </w:rPr>
              <w:t>所在单位</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专业领域</w:t>
            </w: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0"/>
                <w:szCs w:val="20"/>
              </w:rPr>
            </w:pP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trPr>
        <w:tc>
          <w:tcPr>
            <w:tcW w:w="330" w:type="pct"/>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0"/>
                <w:szCs w:val="20"/>
              </w:rPr>
            </w:pP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eastAsia="zh-CN"/>
              </w:rPr>
            </w:pP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pStyle w:val="2"/>
              <w:keepNext w:val="0"/>
              <w:keepLines w:val="0"/>
              <w:widowControl w:val="0"/>
              <w:suppressLineNumbers w:val="0"/>
              <w:jc w:val="center"/>
              <w:rPr>
                <w:rFonts w:hint="default" w:ascii="仿宋" w:hAnsi="仿宋" w:eastAsia="仿宋" w:cs="仿宋"/>
                <w:kern w:val="2"/>
                <w:sz w:val="22"/>
                <w:szCs w:val="22"/>
                <w:lang w:val="en-US"/>
              </w:rPr>
            </w:pP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…可</w:t>
            </w:r>
            <w:r>
              <w:rPr>
                <w:rFonts w:hint="eastAsia" w:ascii="仿宋" w:hAnsi="仿宋" w:eastAsia="仿宋" w:cs="仿宋"/>
                <w:kern w:val="2"/>
                <w:sz w:val="22"/>
                <w:szCs w:val="22"/>
                <w:lang w:val="en-US" w:eastAsia="zh-CN"/>
              </w:rPr>
              <w:t>加行</w:t>
            </w:r>
            <w:r>
              <w:rPr>
                <w:rFonts w:hint="eastAsia" w:ascii="仿宋" w:hAnsi="仿宋" w:eastAsia="仿宋" w:cs="仿宋"/>
                <w:kern w:val="2"/>
                <w:sz w:val="22"/>
                <w:szCs w:val="22"/>
              </w:rPr>
              <w:t>…</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trPr>
        <w:tc>
          <w:tcPr>
            <w:tcW w:w="33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eastAsia="zh-CN"/>
              </w:rPr>
            </w:pPr>
            <w:r>
              <w:rPr>
                <w:rFonts w:hint="eastAsia" w:ascii="仿宋" w:hAnsi="仿宋" w:eastAsia="仿宋" w:cs="仿宋"/>
                <w:kern w:val="2"/>
                <w:sz w:val="22"/>
                <w:szCs w:val="22"/>
                <w:lang w:val="en-US" w:eastAsia="zh-CN"/>
              </w:rPr>
              <w:t>兼职</w:t>
            </w:r>
          </w:p>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教师</w:t>
            </w: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姓名</w:t>
            </w: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出生年月</w:t>
            </w: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性别</w:t>
            </w: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职称</w:t>
            </w: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学历/学位</w:t>
            </w: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所在单位</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专业领域</w:t>
            </w: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lang w:val="en-US" w:eastAsia="zh-CN"/>
              </w:rPr>
            </w:pPr>
            <w:r>
              <w:rPr>
                <w:rFonts w:hint="eastAsia" w:ascii="仿宋" w:hAnsi="仿宋" w:eastAsia="仿宋" w:cs="仿宋"/>
                <w:kern w:val="2"/>
                <w:sz w:val="22"/>
                <w:szCs w:val="22"/>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0"/>
                <w:szCs w:val="20"/>
              </w:rPr>
            </w:pP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b/>
                <w:bCs/>
                <w:kern w:val="2"/>
                <w:sz w:val="22"/>
                <w:szCs w:val="22"/>
              </w:rPr>
            </w:pP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330" w:type="pct"/>
            <w:vMerge w:val="continue"/>
            <w:tcBorders>
              <w:top w:val="nil"/>
              <w:left w:val="single" w:color="auto" w:sz="4" w:space="0"/>
              <w:bottom w:val="single" w:color="auto" w:sz="4" w:space="0"/>
              <w:right w:val="single" w:color="auto" w:sz="4" w:space="0"/>
            </w:tcBorders>
            <w:shd w:val="clear" w:color="auto" w:fill="auto"/>
            <w:vAlign w:val="center"/>
          </w:tcPr>
          <w:p>
            <w:pPr>
              <w:rPr>
                <w:rFonts w:hint="eastAsia" w:ascii="仿宋" w:hAnsi="仿宋" w:eastAsia="仿宋" w:cs="仿宋"/>
                <w:sz w:val="20"/>
                <w:szCs w:val="20"/>
              </w:rPr>
            </w:pPr>
          </w:p>
        </w:tc>
        <w:tc>
          <w:tcPr>
            <w:tcW w:w="49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b/>
                <w:bCs/>
                <w:kern w:val="2"/>
                <w:sz w:val="22"/>
                <w:szCs w:val="22"/>
              </w:rPr>
            </w:pPr>
          </w:p>
        </w:tc>
        <w:tc>
          <w:tcPr>
            <w:tcW w:w="3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32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58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836"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r>
              <w:rPr>
                <w:rFonts w:hint="eastAsia" w:ascii="仿宋" w:hAnsi="仿宋" w:eastAsia="仿宋" w:cs="仿宋"/>
                <w:kern w:val="2"/>
                <w:sz w:val="22"/>
                <w:szCs w:val="22"/>
              </w:rPr>
              <w:t>…可</w:t>
            </w:r>
            <w:r>
              <w:rPr>
                <w:rFonts w:hint="eastAsia" w:ascii="仿宋" w:hAnsi="仿宋" w:eastAsia="仿宋" w:cs="仿宋"/>
                <w:kern w:val="2"/>
                <w:sz w:val="22"/>
                <w:szCs w:val="22"/>
                <w:lang w:val="en-US" w:eastAsia="zh-CN"/>
              </w:rPr>
              <w:t>加行</w:t>
            </w:r>
            <w:r>
              <w:rPr>
                <w:rFonts w:hint="eastAsia" w:ascii="仿宋" w:hAnsi="仿宋" w:eastAsia="仿宋" w:cs="仿宋"/>
                <w:kern w:val="2"/>
                <w:sz w:val="22"/>
                <w:szCs w:val="22"/>
              </w:rPr>
              <w:t>…</w:t>
            </w:r>
          </w:p>
        </w:tc>
        <w:tc>
          <w:tcPr>
            <w:tcW w:w="55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c>
          <w:tcPr>
            <w:tcW w:w="952"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jc w:val="center"/>
              <w:rPr>
                <w:rFonts w:hint="eastAsia" w:ascii="仿宋" w:hAnsi="仿宋" w:eastAsia="仿宋" w:cs="仿宋"/>
                <w:kern w:val="2"/>
                <w:sz w:val="22"/>
                <w:szCs w:val="22"/>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r>
        <w:rPr>
          <w:rFonts w:hint="eastAsia" w:ascii="黑体" w:hAnsi="黑体" w:eastAsia="黑体" w:cs="黑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000000"/>
          <w:sz w:val="36"/>
          <w:szCs w:val="36"/>
        </w:rPr>
      </w:pPr>
      <w:r>
        <w:rPr>
          <w:rFonts w:hint="eastAsia" w:ascii="微软雅黑" w:hAnsi="微软雅黑" w:eastAsia="微软雅黑" w:cs="微软雅黑"/>
          <w:color w:val="000000"/>
          <w:sz w:val="36"/>
          <w:szCs w:val="36"/>
          <w:lang w:val="en-US" w:eastAsia="zh-CN"/>
        </w:rPr>
        <w:t>2025年</w:t>
      </w:r>
      <w:r>
        <w:rPr>
          <w:rFonts w:hint="eastAsia" w:ascii="微软雅黑" w:hAnsi="微软雅黑" w:eastAsia="微软雅黑" w:cs="微软雅黑"/>
          <w:color w:val="000000"/>
          <w:sz w:val="36"/>
          <w:szCs w:val="36"/>
          <w:lang w:eastAsia="zh-CN"/>
        </w:rPr>
        <w:t>广东</w:t>
      </w:r>
      <w:r>
        <w:rPr>
          <w:rFonts w:hint="eastAsia" w:ascii="微软雅黑" w:hAnsi="微软雅黑" w:eastAsia="微软雅黑" w:cs="微软雅黑"/>
          <w:color w:val="000000"/>
          <w:sz w:val="36"/>
          <w:szCs w:val="36"/>
        </w:rPr>
        <w:t>省执业药师继续教育施教机构资质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000000"/>
          <w:sz w:val="36"/>
          <w:szCs w:val="36"/>
          <w:lang w:eastAsia="zh-CN"/>
        </w:rPr>
      </w:pPr>
      <w:r>
        <w:rPr>
          <w:rFonts w:hint="eastAsia" w:ascii="微软雅黑" w:hAnsi="微软雅黑" w:eastAsia="微软雅黑" w:cs="微软雅黑"/>
          <w:color w:val="000000"/>
          <w:sz w:val="36"/>
          <w:szCs w:val="36"/>
        </w:rPr>
        <w:t>审核表</w:t>
      </w:r>
      <w:r>
        <w:rPr>
          <w:rFonts w:hint="eastAsia" w:ascii="微软雅黑" w:hAnsi="微软雅黑" w:eastAsia="微软雅黑" w:cs="微软雅黑"/>
          <w:color w:val="000000"/>
          <w:sz w:val="36"/>
          <w:szCs w:val="36"/>
          <w:lang w:eastAsia="zh-CN"/>
        </w:rPr>
        <w:t>（</w:t>
      </w:r>
      <w:r>
        <w:rPr>
          <w:rFonts w:hint="eastAsia" w:ascii="微软雅黑" w:hAnsi="微软雅黑" w:eastAsia="微软雅黑" w:cs="微软雅黑"/>
          <w:color w:val="000000"/>
          <w:sz w:val="36"/>
          <w:szCs w:val="36"/>
        </w:rPr>
        <w:t>面授</w:t>
      </w:r>
      <w:r>
        <w:rPr>
          <w:rFonts w:hint="eastAsia" w:ascii="微软雅黑" w:hAnsi="微软雅黑" w:eastAsia="微软雅黑" w:cs="微软雅黑"/>
          <w:color w:val="000000"/>
          <w:sz w:val="36"/>
          <w:szCs w:val="36"/>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申报单位:</w:t>
      </w:r>
    </w:p>
    <w:tbl>
      <w:tblPr>
        <w:tblStyle w:val="11"/>
        <w:tblW w:w="9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
        <w:gridCol w:w="741"/>
        <w:gridCol w:w="4684"/>
        <w:gridCol w:w="2827"/>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blHeade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542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评审内容及要求</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评审分值</w:t>
            </w:r>
          </w:p>
        </w:tc>
        <w:tc>
          <w:tcPr>
            <w:tcW w:w="7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741"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right="-34" w:rightChars="-14"/>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机构资质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rPr>
              <w:t>分</w:t>
            </w: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为独立法人、合法机构（提供法人身份证件、营业执照、事业法人证书或者社会团体法人登记证书复印件）</w:t>
            </w:r>
            <w:r>
              <w:rPr>
                <w:rFonts w:hint="eastAsia" w:ascii="仿宋" w:hAnsi="仿宋" w:eastAsia="仿宋" w:cs="仿宋"/>
                <w:color w:val="000000"/>
                <w:sz w:val="24"/>
                <w:szCs w:val="24"/>
                <w:lang w:eastAsia="zh-CN"/>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74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auto"/>
                <w:highlight w:val="none"/>
                <w:lang w:val="en-US" w:eastAsia="zh-CN"/>
              </w:rPr>
              <w:t>具备</w:t>
            </w:r>
            <w:r>
              <w:rPr>
                <w:rFonts w:hint="eastAsia" w:ascii="仿宋" w:hAnsi="仿宋" w:eastAsia="仿宋" w:cs="仿宋"/>
                <w:color w:val="auto"/>
                <w:highlight w:val="none"/>
              </w:rPr>
              <w:t>培训资质或具有药学（中药学）专业高等教育教学</w:t>
            </w:r>
            <w:r>
              <w:rPr>
                <w:rFonts w:hint="eastAsia" w:ascii="仿宋" w:hAnsi="仿宋" w:eastAsia="仿宋" w:cs="仿宋"/>
                <w:color w:val="auto"/>
                <w:highlight w:val="none"/>
                <w:lang w:val="en-US" w:eastAsia="zh-CN"/>
              </w:rPr>
              <w:t>、专业技术培训</w:t>
            </w:r>
            <w:r>
              <w:rPr>
                <w:rFonts w:hint="eastAsia" w:ascii="仿宋" w:hAnsi="仿宋" w:eastAsia="仿宋" w:cs="仿宋"/>
                <w:color w:val="auto"/>
                <w:highlight w:val="none"/>
              </w:rPr>
              <w:t>的资质（提供相关部门许可资质复印件）</w:t>
            </w:r>
            <w:r>
              <w:rPr>
                <w:rFonts w:hint="eastAsia" w:ascii="仿宋" w:hAnsi="仿宋" w:eastAsia="仿宋" w:cs="仿宋"/>
                <w:color w:val="auto"/>
                <w:highlight w:val="none"/>
                <w:lang w:eastAsia="zh-CN"/>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p>
        </w:tc>
        <w:tc>
          <w:tcPr>
            <w:tcW w:w="74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办公或培训</w:t>
            </w:r>
            <w:r>
              <w:rPr>
                <w:rFonts w:hint="eastAsia" w:ascii="仿宋" w:hAnsi="仿宋" w:eastAsia="仿宋" w:cs="仿宋"/>
                <w:color w:val="000000"/>
                <w:sz w:val="24"/>
                <w:szCs w:val="24"/>
              </w:rPr>
              <w:t>地址与审批机关批准的相一致</w:t>
            </w:r>
            <w:r>
              <w:rPr>
                <w:rFonts w:hint="eastAsia" w:ascii="仿宋" w:hAnsi="仿宋" w:eastAsia="仿宋" w:cs="仿宋"/>
                <w:color w:val="000000"/>
                <w:sz w:val="24"/>
                <w:szCs w:val="24"/>
                <w:lang w:eastAsia="zh-CN"/>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74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c>
          <w:tcPr>
            <w:tcW w:w="4684" w:type="dxa"/>
            <w:vAlign w:val="center"/>
          </w:tcPr>
          <w:p>
            <w:pPr>
              <w:pStyle w:val="21"/>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lang w:eastAsia="zh-CN"/>
              </w:rPr>
              <w:t>申报前</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年内在经营活动中</w:t>
            </w:r>
            <w:r>
              <w:rPr>
                <w:rFonts w:hint="eastAsia" w:ascii="仿宋" w:hAnsi="仿宋" w:eastAsia="仿宋" w:cs="仿宋"/>
                <w:color w:val="000000"/>
                <w:kern w:val="0"/>
                <w:sz w:val="24"/>
                <w:szCs w:val="24"/>
                <w:highlight w:val="none"/>
                <w:lang w:val="en-US" w:eastAsia="zh-CN"/>
              </w:rPr>
              <w:t>没有重大违反相关法律法规行为、无不良信用记录。</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sz w:val="24"/>
                <w:szCs w:val="24"/>
                <w:lang w:eastAsia="zh-CN"/>
              </w:rPr>
            </w:pP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出具书面承诺</w:t>
            </w:r>
            <w:r>
              <w:rPr>
                <w:rFonts w:hint="eastAsia" w:ascii="仿宋" w:hAnsi="仿宋" w:eastAsia="仿宋" w:cs="仿宋"/>
                <w:color w:val="000000"/>
                <w:kern w:val="0"/>
                <w:sz w:val="24"/>
                <w:szCs w:val="24"/>
                <w:highlight w:val="none"/>
                <w:lang w:val="en-US" w:eastAsia="zh-CN"/>
              </w:rPr>
              <w:t>及</w:t>
            </w:r>
            <w:r>
              <w:rPr>
                <w:rFonts w:hint="eastAsia" w:ascii="仿宋" w:hAnsi="仿宋" w:eastAsia="仿宋" w:cs="仿宋"/>
                <w:color w:val="000000"/>
                <w:kern w:val="0"/>
                <w:sz w:val="24"/>
                <w:szCs w:val="24"/>
                <w:lang w:val="en-US" w:eastAsia="zh-CN"/>
              </w:rPr>
              <w:t>查询结果截图</w:t>
            </w:r>
            <w:r>
              <w:rPr>
                <w:rFonts w:hint="eastAsia" w:ascii="仿宋" w:hAnsi="仿宋" w:eastAsia="仿宋" w:cs="仿宋"/>
                <w:color w:val="000000"/>
                <w:sz w:val="24"/>
                <w:szCs w:val="24"/>
                <w:lang w:val="en-US" w:eastAsia="zh-CN"/>
              </w:rPr>
              <w:t>，如有虚假或隐瞒即取消资格。</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5</w:t>
            </w:r>
          </w:p>
        </w:tc>
        <w:tc>
          <w:tcPr>
            <w:tcW w:w="741"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设施</w:t>
            </w:r>
            <w:r>
              <w:rPr>
                <w:rFonts w:hint="eastAsia" w:ascii="仿宋" w:hAnsi="仿宋" w:eastAsia="仿宋" w:cs="仿宋"/>
                <w:color w:val="000000"/>
                <w:sz w:val="24"/>
                <w:szCs w:val="24"/>
                <w:lang w:val="en-US" w:eastAsia="zh-CN"/>
              </w:rPr>
              <w:t>和技术要求</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25</w:t>
            </w:r>
            <w:r>
              <w:rPr>
                <w:rFonts w:hint="eastAsia" w:ascii="仿宋" w:hAnsi="仿宋" w:eastAsia="仿宋" w:cs="仿宋"/>
                <w:color w:val="000000"/>
                <w:sz w:val="24"/>
                <w:szCs w:val="24"/>
              </w:rPr>
              <w:t>分</w:t>
            </w: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FF0000"/>
                <w:sz w:val="24"/>
                <w:szCs w:val="24"/>
              </w:rPr>
            </w:pPr>
            <w:r>
              <w:rPr>
                <w:rFonts w:hint="eastAsia" w:ascii="仿宋" w:hAnsi="仿宋" w:eastAsia="仿宋" w:cs="仿宋"/>
                <w:color w:val="auto"/>
                <w:sz w:val="24"/>
                <w:szCs w:val="24"/>
              </w:rPr>
              <w:t>具有固定的办公场地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稳定的培训场所。场地为租赁的，必须签订1年</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以上的</w:t>
            </w:r>
            <w:r>
              <w:rPr>
                <w:rFonts w:hint="eastAsia" w:ascii="仿宋" w:hAnsi="仿宋" w:eastAsia="仿宋" w:cs="仿宋"/>
                <w:color w:val="auto"/>
                <w:sz w:val="24"/>
                <w:szCs w:val="24"/>
                <w:lang w:eastAsia="zh-CN"/>
              </w:rPr>
              <w:t>租用协议</w:t>
            </w:r>
            <w:r>
              <w:rPr>
                <w:rFonts w:hint="eastAsia" w:ascii="仿宋" w:hAnsi="仿宋" w:eastAsia="仿宋" w:cs="仿宋"/>
                <w:color w:val="auto"/>
                <w:sz w:val="24"/>
                <w:szCs w:val="24"/>
              </w:rPr>
              <w:t>。不得租借简易建筑物、</w:t>
            </w:r>
            <w:r>
              <w:rPr>
                <w:rFonts w:hint="eastAsia" w:ascii="仿宋" w:hAnsi="仿宋" w:eastAsia="仿宋" w:cs="仿宋"/>
                <w:color w:val="auto"/>
                <w:sz w:val="24"/>
                <w:szCs w:val="24"/>
                <w:lang w:val="en-US" w:eastAsia="zh-CN"/>
              </w:rPr>
              <w:t>危</w:t>
            </w:r>
            <w:r>
              <w:rPr>
                <w:rFonts w:hint="eastAsia" w:ascii="仿宋" w:hAnsi="仿宋" w:eastAsia="仿宋" w:cs="仿宋"/>
                <w:color w:val="auto"/>
                <w:sz w:val="24"/>
                <w:szCs w:val="24"/>
              </w:rPr>
              <w:t>房、地下设施、从事正常教学的中小学校舍以及其他不适合培训教学的场所作为</w:t>
            </w:r>
            <w:r>
              <w:rPr>
                <w:rFonts w:hint="eastAsia" w:ascii="仿宋" w:hAnsi="仿宋" w:eastAsia="仿宋" w:cs="仿宋"/>
                <w:color w:val="auto"/>
                <w:sz w:val="24"/>
                <w:szCs w:val="24"/>
                <w:lang w:eastAsia="zh-CN"/>
              </w:rPr>
              <w:t>培训</w:t>
            </w:r>
            <w:r>
              <w:rPr>
                <w:rFonts w:hint="eastAsia" w:ascii="仿宋" w:hAnsi="仿宋" w:eastAsia="仿宋" w:cs="仿宋"/>
                <w:color w:val="auto"/>
                <w:sz w:val="24"/>
                <w:szCs w:val="24"/>
              </w:rPr>
              <w:t>场地。</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FF0000"/>
                <w:sz w:val="24"/>
                <w:szCs w:val="24"/>
                <w:lang w:eastAsia="zh-CN"/>
              </w:rPr>
            </w:pPr>
            <w:r>
              <w:rPr>
                <w:rFonts w:hint="eastAsia" w:ascii="仿宋" w:hAnsi="仿宋" w:eastAsia="仿宋" w:cs="仿宋"/>
                <w:color w:val="auto"/>
                <w:sz w:val="24"/>
                <w:szCs w:val="24"/>
              </w:rPr>
              <w:t>无</w:t>
            </w:r>
            <w:r>
              <w:rPr>
                <w:rFonts w:hint="eastAsia" w:ascii="仿宋" w:hAnsi="仿宋" w:eastAsia="仿宋" w:cs="仿宋"/>
                <w:color w:val="auto"/>
                <w:sz w:val="24"/>
                <w:szCs w:val="24"/>
                <w:lang w:val="en-US" w:eastAsia="zh-CN"/>
              </w:rPr>
              <w:t>相关办公场地</w:t>
            </w:r>
            <w:r>
              <w:rPr>
                <w:rFonts w:hint="eastAsia" w:ascii="仿宋" w:hAnsi="仿宋" w:eastAsia="仿宋" w:cs="仿宋"/>
                <w:color w:val="auto"/>
                <w:sz w:val="24"/>
                <w:szCs w:val="24"/>
              </w:rPr>
              <w:t>不得分；提供固定资产证明或签订一年</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以上的</w:t>
            </w:r>
            <w:r>
              <w:rPr>
                <w:rFonts w:hint="eastAsia" w:ascii="仿宋" w:hAnsi="仿宋" w:eastAsia="仿宋" w:cs="仿宋"/>
                <w:color w:val="auto"/>
                <w:sz w:val="24"/>
                <w:szCs w:val="24"/>
                <w:lang w:eastAsia="zh-CN"/>
              </w:rPr>
              <w:t>租用协议</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6</w:t>
            </w:r>
          </w:p>
        </w:tc>
        <w:tc>
          <w:tcPr>
            <w:tcW w:w="74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有能够满足</w:t>
            </w:r>
            <w:r>
              <w:rPr>
                <w:rFonts w:hint="eastAsia" w:ascii="仿宋" w:hAnsi="仿宋" w:eastAsia="仿宋" w:cs="仿宋"/>
                <w:color w:val="000000"/>
                <w:sz w:val="24"/>
                <w:szCs w:val="24"/>
                <w:lang w:val="en-US" w:eastAsia="zh-CN"/>
              </w:rPr>
              <w:t>继续教育和</w:t>
            </w:r>
            <w:r>
              <w:rPr>
                <w:rFonts w:hint="eastAsia" w:ascii="仿宋" w:hAnsi="仿宋" w:eastAsia="仿宋" w:cs="仿宋"/>
                <w:color w:val="000000"/>
                <w:sz w:val="24"/>
                <w:szCs w:val="24"/>
                <w:lang w:eastAsia="zh-CN"/>
              </w:rPr>
              <w:t>考核</w:t>
            </w:r>
            <w:r>
              <w:rPr>
                <w:rFonts w:hint="eastAsia" w:ascii="仿宋" w:hAnsi="仿宋" w:eastAsia="仿宋" w:cs="仿宋"/>
                <w:color w:val="000000"/>
                <w:sz w:val="24"/>
                <w:szCs w:val="24"/>
              </w:rPr>
              <w:t>要求的教室</w:t>
            </w:r>
            <w:r>
              <w:rPr>
                <w:rFonts w:hint="eastAsia" w:ascii="仿宋" w:hAnsi="仿宋" w:eastAsia="仿宋" w:cs="仿宋"/>
                <w:color w:val="000000"/>
                <w:sz w:val="24"/>
                <w:szCs w:val="24"/>
                <w:lang w:val="en-US" w:eastAsia="zh-CN"/>
              </w:rPr>
              <w:t>及</w:t>
            </w:r>
            <w:r>
              <w:rPr>
                <w:rFonts w:hint="eastAsia" w:ascii="仿宋" w:hAnsi="仿宋" w:eastAsia="仿宋" w:cs="仿宋"/>
                <w:color w:val="000000"/>
                <w:sz w:val="24"/>
                <w:szCs w:val="24"/>
              </w:rPr>
              <w:t>设施。</w:t>
            </w:r>
            <w:r>
              <w:rPr>
                <w:rFonts w:hint="eastAsia" w:ascii="仿宋" w:hAnsi="仿宋" w:eastAsia="仿宋" w:cs="仿宋"/>
                <w:color w:val="000000"/>
                <w:sz w:val="24"/>
                <w:szCs w:val="24"/>
                <w:lang w:val="en-US" w:eastAsia="zh-CN"/>
              </w:rPr>
              <w:t>培训教室数量应在2间以上，每间教室能够容纳学员数150人以上</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提供培训场地平面布局图和主要设备设施清单</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具有培训教室2间得4分，培训教室3间及以上得6分。</w:t>
            </w:r>
          </w:p>
        </w:tc>
        <w:tc>
          <w:tcPr>
            <w:tcW w:w="727"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74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strike w:val="0"/>
                <w:color w:val="000000"/>
                <w:sz w:val="24"/>
                <w:szCs w:val="24"/>
                <w:lang w:eastAsia="zh-CN"/>
              </w:rPr>
            </w:pPr>
            <w:r>
              <w:rPr>
                <w:rFonts w:hint="eastAsia" w:ascii="仿宋" w:hAnsi="仿宋" w:eastAsia="仿宋" w:cs="仿宋"/>
                <w:strike w:val="0"/>
                <w:color w:val="000000"/>
                <w:sz w:val="24"/>
                <w:szCs w:val="24"/>
              </w:rPr>
              <w:t>有符合面授要求相应的教学设备，如计算机、桌椅、电子教学屏、实操练习设备等</w:t>
            </w:r>
            <w:r>
              <w:rPr>
                <w:rFonts w:hint="eastAsia" w:ascii="仿宋" w:hAnsi="仿宋" w:eastAsia="仿宋" w:cs="仿宋"/>
                <w:strike w:val="0"/>
                <w:color w:val="000000"/>
                <w:sz w:val="24"/>
                <w:szCs w:val="24"/>
                <w:lang w:eastAsia="zh-CN"/>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6分</w:t>
            </w:r>
          </w:p>
        </w:tc>
        <w:tc>
          <w:tcPr>
            <w:tcW w:w="727"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74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strike w:val="0"/>
                <w:color w:val="000000"/>
                <w:sz w:val="24"/>
                <w:szCs w:val="24"/>
              </w:rPr>
              <w:t>具备现代化信息管理设备和技术，</w:t>
            </w:r>
            <w:r>
              <w:rPr>
                <w:rFonts w:hint="eastAsia" w:ascii="仿宋" w:hAnsi="仿宋" w:eastAsia="仿宋" w:cs="仿宋"/>
                <w:strike w:val="0"/>
                <w:color w:val="000000"/>
                <w:sz w:val="24"/>
                <w:szCs w:val="24"/>
                <w:lang w:val="en-US" w:eastAsia="zh-CN"/>
              </w:rPr>
              <w:t>能对继续教育</w:t>
            </w:r>
            <w:r>
              <w:rPr>
                <w:rFonts w:hint="eastAsia" w:ascii="仿宋" w:hAnsi="仿宋" w:eastAsia="仿宋" w:cs="仿宋"/>
                <w:strike w:val="0"/>
                <w:color w:val="000000"/>
                <w:sz w:val="24"/>
                <w:szCs w:val="24"/>
              </w:rPr>
              <w:t>工作进行信息化管理，</w:t>
            </w:r>
            <w:r>
              <w:rPr>
                <w:rFonts w:hint="eastAsia" w:ascii="仿宋" w:hAnsi="仿宋" w:eastAsia="仿宋" w:cs="仿宋"/>
                <w:strike w:val="0"/>
                <w:color w:val="000000"/>
                <w:sz w:val="24"/>
                <w:szCs w:val="24"/>
                <w:lang w:val="en-US" w:eastAsia="zh-CN"/>
              </w:rPr>
              <w:t>具备</w:t>
            </w:r>
            <w:r>
              <w:rPr>
                <w:rFonts w:hint="eastAsia" w:ascii="仿宋" w:hAnsi="仿宋" w:eastAsia="仿宋" w:cs="仿宋"/>
                <w:strike w:val="0"/>
                <w:color w:val="000000"/>
                <w:sz w:val="24"/>
                <w:szCs w:val="24"/>
              </w:rPr>
              <w:t>将培训数据</w:t>
            </w:r>
            <w:r>
              <w:rPr>
                <w:rFonts w:hint="eastAsia" w:ascii="仿宋" w:hAnsi="仿宋" w:eastAsia="仿宋" w:cs="仿宋"/>
                <w:strike w:val="0"/>
                <w:color w:val="000000"/>
                <w:sz w:val="24"/>
                <w:szCs w:val="24"/>
                <w:lang w:val="en-US" w:eastAsia="zh-CN"/>
              </w:rPr>
              <w:t>推送至</w:t>
            </w:r>
            <w:r>
              <w:rPr>
                <w:rFonts w:hint="eastAsia" w:ascii="仿宋" w:hAnsi="仿宋" w:eastAsia="仿宋" w:cs="仿宋"/>
                <w:strike w:val="0"/>
                <w:color w:val="000000"/>
                <w:sz w:val="24"/>
                <w:szCs w:val="24"/>
                <w:lang w:eastAsia="zh-CN"/>
              </w:rPr>
              <w:t>广东</w:t>
            </w:r>
            <w:r>
              <w:rPr>
                <w:rFonts w:hint="eastAsia" w:ascii="仿宋" w:hAnsi="仿宋" w:eastAsia="仿宋" w:cs="仿宋"/>
                <w:strike w:val="0"/>
                <w:color w:val="000000"/>
                <w:sz w:val="24"/>
                <w:szCs w:val="24"/>
              </w:rPr>
              <w:t>省执业药师继续教育管理</w:t>
            </w:r>
            <w:r>
              <w:rPr>
                <w:rFonts w:hint="eastAsia" w:ascii="仿宋" w:hAnsi="仿宋" w:eastAsia="仿宋" w:cs="仿宋"/>
                <w:strike w:val="0"/>
                <w:color w:val="000000"/>
                <w:sz w:val="24"/>
                <w:szCs w:val="24"/>
                <w:lang w:val="en-US" w:eastAsia="zh-CN"/>
              </w:rPr>
              <w:t>系统的能力</w:t>
            </w:r>
            <w:r>
              <w:rPr>
                <w:rFonts w:hint="eastAsia" w:ascii="仿宋" w:hAnsi="仿宋" w:eastAsia="仿宋" w:cs="仿宋"/>
                <w:strike w:val="0"/>
                <w:color w:val="000000"/>
                <w:sz w:val="24"/>
                <w:szCs w:val="24"/>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rPr>
              <w:t>具备2台专用计算机设备得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每增加1台加1分，最多加至6分；</w:t>
            </w:r>
            <w:r>
              <w:rPr>
                <w:rFonts w:hint="eastAsia" w:ascii="仿宋" w:hAnsi="仿宋" w:eastAsia="仿宋" w:cs="仿宋"/>
                <w:strike w:val="0"/>
                <w:color w:val="auto"/>
                <w:sz w:val="24"/>
                <w:szCs w:val="24"/>
                <w:highlight w:val="none"/>
                <w:lang w:val="en-US" w:eastAsia="zh-CN"/>
              </w:rPr>
              <w:t>承诺</w:t>
            </w:r>
            <w:r>
              <w:rPr>
                <w:rFonts w:hint="eastAsia" w:ascii="仿宋" w:hAnsi="仿宋" w:eastAsia="仿宋" w:cs="仿宋"/>
                <w:color w:val="auto"/>
                <w:sz w:val="24"/>
                <w:szCs w:val="24"/>
                <w:highlight w:val="none"/>
                <w:lang w:val="en-US" w:eastAsia="zh-CN"/>
              </w:rPr>
              <w:t>有效对接管理系统再得2分。满分8分</w:t>
            </w:r>
          </w:p>
        </w:tc>
        <w:tc>
          <w:tcPr>
            <w:tcW w:w="727" w:type="dxa"/>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9</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师资要求</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15分</w:t>
            </w: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拥</w:t>
            </w:r>
            <w:r>
              <w:rPr>
                <w:rFonts w:hint="eastAsia" w:ascii="仿宋" w:hAnsi="仿宋" w:eastAsia="仿宋" w:cs="仿宋"/>
                <w:color w:val="000000"/>
                <w:sz w:val="24"/>
                <w:szCs w:val="24"/>
              </w:rPr>
              <w:t>有稳定的专</w:t>
            </w:r>
            <w:r>
              <w:rPr>
                <w:rFonts w:hint="eastAsia" w:ascii="仿宋" w:hAnsi="仿宋" w:eastAsia="仿宋" w:cs="仿宋"/>
                <w:color w:val="auto"/>
                <w:sz w:val="24"/>
                <w:szCs w:val="24"/>
              </w:rPr>
              <w:t>业师资队伍。师资总数不少于20名；</w:t>
            </w:r>
            <w:r>
              <w:rPr>
                <w:rFonts w:hint="eastAsia" w:ascii="仿宋" w:hAnsi="仿宋" w:eastAsia="仿宋" w:cs="仿宋"/>
                <w:color w:val="auto"/>
                <w:kern w:val="0"/>
                <w:sz w:val="24"/>
                <w:szCs w:val="24"/>
                <w:highlight w:val="none"/>
                <w:lang w:val="en-US" w:eastAsia="zh-CN"/>
              </w:rPr>
              <w:t>部分课程师资要求具有执业药师</w:t>
            </w:r>
            <w:r>
              <w:rPr>
                <w:rFonts w:hint="eastAsia" w:ascii="仿宋" w:hAnsi="仿宋" w:eastAsia="仿宋" w:cs="仿宋"/>
                <w:color w:val="000000"/>
                <w:kern w:val="0"/>
                <w:sz w:val="24"/>
                <w:szCs w:val="24"/>
                <w:highlight w:val="none"/>
                <w:lang w:val="en-US" w:eastAsia="zh-CN"/>
              </w:rPr>
              <w:t>继续教育或药学专业技术人员、药品监管人员教育培训工作经验</w:t>
            </w:r>
            <w:r>
              <w:rPr>
                <w:rFonts w:hint="eastAsia" w:ascii="仿宋" w:hAnsi="仿宋" w:eastAsia="仿宋" w:cs="仿宋"/>
                <w:color w:val="000000"/>
                <w:sz w:val="24"/>
                <w:szCs w:val="24"/>
              </w:rPr>
              <w:t>(提供培训师资人员相关证明材料复印件)</w:t>
            </w:r>
            <w:r>
              <w:rPr>
                <w:rFonts w:hint="eastAsia" w:ascii="仿宋" w:hAnsi="仿宋" w:eastAsia="仿宋" w:cs="仿宋"/>
                <w:color w:val="000000"/>
                <w:sz w:val="24"/>
                <w:szCs w:val="24"/>
                <w:lang w:eastAsia="zh-CN"/>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师资应能涵盖药学高等教育、药品生产、批发、零售、使用和药学服务等多个领域</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为行业内资深专家或具备药学类、中药学类相关专业副高及以上职称人员，</w:t>
            </w:r>
            <w:r>
              <w:rPr>
                <w:rFonts w:hint="eastAsia" w:ascii="仿宋" w:hAnsi="仿宋" w:eastAsia="仿宋" w:cs="仿宋"/>
                <w:color w:val="000000"/>
                <w:sz w:val="24"/>
                <w:szCs w:val="24"/>
                <w:lang w:eastAsia="zh-CN"/>
              </w:rPr>
              <w:t>达到以上条件得</w:t>
            </w:r>
            <w:r>
              <w:rPr>
                <w:rFonts w:hint="eastAsia" w:ascii="仿宋" w:hAnsi="仿宋" w:eastAsia="仿宋" w:cs="仿宋"/>
                <w:color w:val="000000"/>
                <w:sz w:val="24"/>
                <w:szCs w:val="24"/>
                <w:lang w:val="en-US" w:eastAsia="zh-CN"/>
              </w:rPr>
              <w:t>5分；师资</w:t>
            </w:r>
            <w:r>
              <w:rPr>
                <w:rFonts w:hint="eastAsia" w:ascii="仿宋" w:hAnsi="仿宋" w:eastAsia="仿宋" w:cs="仿宋"/>
                <w:color w:val="000000"/>
                <w:sz w:val="24"/>
                <w:szCs w:val="24"/>
              </w:rPr>
              <w:t>达到</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人得</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分，每增加</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人加</w:t>
            </w:r>
            <w:r>
              <w:rPr>
                <w:rFonts w:hint="eastAsia" w:ascii="仿宋" w:hAnsi="仿宋" w:eastAsia="仿宋" w:cs="仿宋"/>
                <w:color w:val="000000"/>
                <w:sz w:val="24"/>
                <w:szCs w:val="24"/>
                <w:lang w:val="en-US" w:eastAsia="zh-CN"/>
              </w:rPr>
              <w:t>0.5</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最多加至</w:t>
            </w:r>
            <w:r>
              <w:rPr>
                <w:rFonts w:hint="eastAsia" w:ascii="仿宋" w:hAnsi="仿宋" w:eastAsia="仿宋" w:cs="仿宋"/>
                <w:color w:val="000000"/>
                <w:sz w:val="24"/>
                <w:szCs w:val="24"/>
                <w:lang w:val="en-US" w:eastAsia="zh-CN"/>
              </w:rPr>
              <w:t>10分</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满分</w:t>
            </w:r>
            <w:r>
              <w:rPr>
                <w:rFonts w:hint="eastAsia" w:ascii="仿宋" w:hAnsi="仿宋" w:eastAsia="仿宋" w:cs="仿宋"/>
                <w:color w:val="000000"/>
                <w:sz w:val="24"/>
                <w:szCs w:val="24"/>
                <w:lang w:val="en-US" w:eastAsia="zh-CN"/>
              </w:rPr>
              <w:t>15分。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741"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管理要求</w:t>
            </w:r>
            <w:r>
              <w:rPr>
                <w:rFonts w:hint="eastAsia" w:ascii="仿宋" w:hAnsi="仿宋" w:eastAsia="仿宋" w:cs="仿宋"/>
                <w:color w:val="000000"/>
                <w:sz w:val="24"/>
                <w:szCs w:val="24"/>
                <w:lang w:val="en-US" w:eastAsia="zh-CN"/>
              </w:rPr>
              <w:t>和服务支持</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分</w:t>
            </w: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提供</w:t>
            </w:r>
            <w:r>
              <w:rPr>
                <w:rFonts w:hint="eastAsia" w:ascii="仿宋" w:hAnsi="仿宋" w:eastAsia="仿宋" w:cs="仿宋"/>
                <w:color w:val="000000"/>
                <w:kern w:val="0"/>
                <w:sz w:val="24"/>
                <w:szCs w:val="24"/>
                <w:highlight w:val="none"/>
                <w:lang w:val="en-US" w:eastAsia="zh-CN"/>
              </w:rPr>
              <w:t>组织架构图。</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11</w:t>
            </w:r>
          </w:p>
        </w:tc>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具备</w:t>
            </w:r>
            <w:r>
              <w:rPr>
                <w:rFonts w:hint="eastAsia" w:ascii="仿宋" w:hAnsi="仿宋" w:eastAsia="仿宋" w:cs="仿宋"/>
                <w:color w:val="auto"/>
                <w:sz w:val="24"/>
                <w:szCs w:val="24"/>
              </w:rPr>
              <w:t>完善的机构行政管理、教学管理、保密管理、档案管理、财会管理和应急预案等各项规章制度，并能有效实施。</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满</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分，每少1项</w:t>
            </w:r>
            <w:r>
              <w:rPr>
                <w:rFonts w:hint="eastAsia" w:ascii="仿宋" w:hAnsi="仿宋" w:eastAsia="仿宋" w:cs="仿宋"/>
                <w:color w:val="auto"/>
                <w:sz w:val="24"/>
                <w:szCs w:val="24"/>
                <w:lang w:val="en-US" w:eastAsia="zh-CN"/>
              </w:rPr>
              <w:t>少</w:t>
            </w:r>
            <w:r>
              <w:rPr>
                <w:rFonts w:hint="eastAsia" w:ascii="仿宋" w:hAnsi="仿宋" w:eastAsia="仿宋" w:cs="仿宋"/>
                <w:color w:val="auto"/>
                <w:sz w:val="24"/>
                <w:szCs w:val="24"/>
              </w:rPr>
              <w:t>1分</w:t>
            </w:r>
            <w:r>
              <w:rPr>
                <w:rFonts w:hint="eastAsia" w:ascii="仿宋" w:hAnsi="仿宋" w:eastAsia="仿宋" w:cs="仿宋"/>
                <w:color w:val="auto"/>
                <w:sz w:val="24"/>
                <w:szCs w:val="24"/>
                <w:lang w:eastAsia="zh-CN"/>
              </w:rPr>
              <w:t>。</w:t>
            </w:r>
          </w:p>
        </w:tc>
        <w:tc>
          <w:tcPr>
            <w:tcW w:w="727" w:type="dxa"/>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有</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名以上具有药学类、中药学类相关专业背景的专职管理人员(提供专职的培训管理人员身份证及相关证明材料复印件)</w:t>
            </w:r>
            <w:r>
              <w:rPr>
                <w:rFonts w:hint="eastAsia" w:ascii="仿宋" w:hAnsi="仿宋" w:eastAsia="仿宋" w:cs="仿宋"/>
                <w:color w:val="auto"/>
                <w:sz w:val="24"/>
                <w:szCs w:val="24"/>
                <w:lang w:eastAsia="zh-CN"/>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具备</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名符合条件人员得3分，每增加1人加1分，</w:t>
            </w:r>
            <w:r>
              <w:rPr>
                <w:rFonts w:hint="eastAsia" w:ascii="仿宋" w:hAnsi="仿宋" w:eastAsia="仿宋" w:cs="仿宋"/>
                <w:color w:val="auto"/>
                <w:sz w:val="24"/>
                <w:szCs w:val="24"/>
                <w:lang w:eastAsia="zh-CN"/>
              </w:rPr>
              <w:t>满分</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727" w:type="dxa"/>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rPr>
              <w:t>依法</w:t>
            </w:r>
            <w:r>
              <w:rPr>
                <w:rFonts w:hint="eastAsia" w:ascii="仿宋" w:hAnsi="仿宋" w:eastAsia="仿宋" w:cs="仿宋"/>
                <w:color w:val="auto"/>
                <w:sz w:val="24"/>
                <w:szCs w:val="24"/>
                <w:lang w:val="en-US" w:eastAsia="zh-CN"/>
              </w:rPr>
              <w:t>缴纳税收证明和健全的财务会计制度承诺函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坚持收费公示制度；使用合法票据</w:t>
            </w:r>
            <w:r>
              <w:rPr>
                <w:rFonts w:hint="eastAsia" w:ascii="仿宋" w:hAnsi="仿宋" w:eastAsia="仿宋" w:cs="仿宋"/>
                <w:color w:val="auto"/>
                <w:sz w:val="24"/>
                <w:szCs w:val="24"/>
                <w:lang w:val="en-US" w:eastAsia="zh-CN"/>
              </w:rPr>
              <w:t>进行收费</w:t>
            </w:r>
            <w:r>
              <w:rPr>
                <w:rFonts w:hint="eastAsia" w:ascii="仿宋" w:hAnsi="仿宋" w:eastAsia="仿宋" w:cs="仿宋"/>
                <w:color w:val="auto"/>
                <w:sz w:val="24"/>
                <w:szCs w:val="24"/>
                <w:lang w:eastAsia="zh-CN"/>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满</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分，每少一项</w:t>
            </w:r>
            <w:r>
              <w:rPr>
                <w:rFonts w:hint="eastAsia" w:ascii="仿宋" w:hAnsi="仿宋" w:eastAsia="仿宋" w:cs="仿宋"/>
                <w:color w:val="auto"/>
                <w:sz w:val="24"/>
                <w:szCs w:val="24"/>
                <w:lang w:val="en-US" w:eastAsia="zh-CN"/>
              </w:rPr>
              <w:t>少</w:t>
            </w:r>
            <w:r>
              <w:rPr>
                <w:rFonts w:hint="eastAsia" w:ascii="仿宋" w:hAnsi="仿宋" w:eastAsia="仿宋" w:cs="仿宋"/>
                <w:color w:val="auto"/>
                <w:sz w:val="24"/>
                <w:szCs w:val="24"/>
              </w:rPr>
              <w:t>1分。</w:t>
            </w:r>
          </w:p>
        </w:tc>
        <w:tc>
          <w:tcPr>
            <w:tcW w:w="727" w:type="dxa"/>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具备必要的客服条件。能通过网络在线、电话、电子邮件、现场服务等方式及时解决学员在接受执业药师继续教育过程中出现的问题。</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具备1名专职客服人员得1分，每增加1人加1分，满分4</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bookmarkStart w:id="4" w:name="_GoBack"/>
            <w:bookmarkEnd w:id="4"/>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741" w:type="dxa"/>
            <w:vMerge w:val="restart"/>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运营能力</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具备成熟的医药</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行业职业教育培训开展经验与服务水平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得到相关主管部门的认可或表彰</w:t>
            </w:r>
            <w:r>
              <w:rPr>
                <w:rFonts w:hint="eastAsia" w:ascii="仿宋" w:hAnsi="仿宋" w:eastAsia="仿宋" w:cs="仿宋"/>
                <w:color w:val="auto"/>
                <w:sz w:val="24"/>
                <w:szCs w:val="24"/>
              </w:rPr>
              <w:t>。</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承担地市及以下级别相关培训</w:t>
            </w:r>
            <w:r>
              <w:rPr>
                <w:rFonts w:hint="eastAsia" w:ascii="仿宋" w:hAnsi="仿宋" w:eastAsia="仿宋" w:cs="仿宋"/>
                <w:color w:val="auto"/>
                <w:sz w:val="24"/>
                <w:szCs w:val="24"/>
              </w:rPr>
              <w:t>证明资料的，得</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承担省级相关培训</w:t>
            </w:r>
            <w:r>
              <w:rPr>
                <w:rFonts w:hint="eastAsia" w:ascii="仿宋" w:hAnsi="仿宋" w:eastAsia="仿宋" w:cs="仿宋"/>
                <w:color w:val="auto"/>
                <w:sz w:val="24"/>
                <w:szCs w:val="24"/>
              </w:rPr>
              <w:t>证明资料的，得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承担国家级相关培训</w:t>
            </w:r>
            <w:r>
              <w:rPr>
                <w:rFonts w:hint="eastAsia" w:ascii="仿宋" w:hAnsi="仿宋" w:eastAsia="仿宋" w:cs="仿宋"/>
                <w:color w:val="auto"/>
                <w:sz w:val="24"/>
                <w:szCs w:val="24"/>
              </w:rPr>
              <w:t>证明资料的，得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累计最多5分；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得到相关主管部门的认可或表彰，提供一个案例得1分，每增加1个案例加1分，最多加至3分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满分8分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5" w:hRule="atLeast"/>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74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具备运营执业药师继续教育或其他专业技术岗位人才培养、资格培训考核、继续教育的经验。</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提供近1年证明资料的，得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提供近</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年证明材料的，得</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提供近</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年证明资料的，得</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74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具备医药行业法规政策及药学服务专业研究能力，或社会服务公益服务能力。</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每提供1个</w:t>
            </w:r>
            <w:r>
              <w:rPr>
                <w:rFonts w:hint="eastAsia" w:ascii="仿宋" w:hAnsi="仿宋" w:eastAsia="仿宋" w:cs="仿宋"/>
                <w:color w:val="auto"/>
                <w:sz w:val="24"/>
                <w:szCs w:val="24"/>
                <w:lang w:val="en-US" w:eastAsia="zh-CN"/>
              </w:rPr>
              <w:t>成功</w:t>
            </w:r>
            <w:r>
              <w:rPr>
                <w:rFonts w:hint="eastAsia" w:ascii="仿宋" w:hAnsi="仿宋" w:eastAsia="仿宋" w:cs="仿宋"/>
                <w:color w:val="auto"/>
                <w:sz w:val="24"/>
                <w:szCs w:val="24"/>
              </w:rPr>
              <w:t>案例得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分，满分</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741" w:type="dxa"/>
            <w:vMerge w:val="continue"/>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c>
          <w:tcPr>
            <w:tcW w:w="468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eastAsia="zh-CN"/>
              </w:rPr>
              <w:t>具备粤港澳执业药师交流、实施港澳执业药师继续教育能力（提供相关证明材料）。</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56"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总得分</w:t>
            </w:r>
          </w:p>
        </w:tc>
        <w:tc>
          <w:tcPr>
            <w:tcW w:w="282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100分</w:t>
            </w:r>
          </w:p>
        </w:tc>
        <w:tc>
          <w:tcPr>
            <w:tcW w:w="727" w:type="dxa"/>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000000"/>
          <w:sz w:val="36"/>
          <w:szCs w:val="36"/>
          <w:lang w:eastAsia="zh-CN"/>
        </w:rPr>
      </w:pPr>
      <w:r>
        <w:rPr>
          <w:rFonts w:hint="eastAsia" w:ascii="仿宋" w:hAnsi="仿宋" w:eastAsia="仿宋" w:cs="仿宋"/>
          <w:color w:val="auto"/>
          <w:sz w:val="24"/>
          <w:szCs w:val="24"/>
        </w:rPr>
        <w:t>注:★</w:t>
      </w:r>
      <w:r>
        <w:rPr>
          <w:rFonts w:hint="eastAsia" w:ascii="仿宋" w:hAnsi="仿宋" w:eastAsia="仿宋" w:cs="仿宋"/>
          <w:color w:val="auto"/>
          <w:sz w:val="24"/>
          <w:szCs w:val="24"/>
          <w:lang w:eastAsia="zh-CN"/>
        </w:rPr>
        <w:t>项为必须具备的条件，如有缺项，取消资格</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微软雅黑" w:hAnsi="微软雅黑" w:eastAsia="微软雅黑" w:cs="微软雅黑"/>
          <w:color w:val="000000"/>
          <w:sz w:val="36"/>
          <w:szCs w:val="36"/>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r>
        <w:rPr>
          <w:rFonts w:hint="eastAsia" w:ascii="黑体" w:hAnsi="黑体" w:eastAsia="黑体" w:cs="黑体"/>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微软雅黑" w:hAnsi="微软雅黑" w:eastAsia="微软雅黑" w:cs="微软雅黑"/>
          <w:color w:val="000000"/>
          <w:sz w:val="36"/>
          <w:szCs w:val="36"/>
          <w:lang w:eastAsia="zh-CN"/>
        </w:rPr>
      </w:pPr>
      <w:r>
        <w:rPr>
          <w:rFonts w:hint="eastAsia" w:ascii="微软雅黑" w:hAnsi="微软雅黑" w:eastAsia="微软雅黑" w:cs="微软雅黑"/>
          <w:color w:val="000000"/>
          <w:sz w:val="36"/>
          <w:szCs w:val="36"/>
          <w:lang w:val="en-US" w:eastAsia="zh-CN"/>
        </w:rPr>
        <w:t>2025年</w:t>
      </w:r>
      <w:r>
        <w:rPr>
          <w:rFonts w:hint="eastAsia" w:ascii="微软雅黑" w:hAnsi="微软雅黑" w:eastAsia="微软雅黑" w:cs="微软雅黑"/>
          <w:color w:val="000000"/>
          <w:sz w:val="36"/>
          <w:szCs w:val="36"/>
          <w:lang w:eastAsia="zh-CN"/>
        </w:rPr>
        <w:t>广东省执业药师继续教育施教机构资质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color w:val="000000"/>
          <w:sz w:val="36"/>
          <w:szCs w:val="36"/>
          <w:lang w:eastAsia="zh-CN"/>
        </w:rPr>
      </w:pPr>
      <w:r>
        <w:rPr>
          <w:rFonts w:hint="eastAsia" w:ascii="微软雅黑" w:hAnsi="微软雅黑" w:eastAsia="微软雅黑" w:cs="微软雅黑"/>
          <w:color w:val="000000"/>
          <w:sz w:val="36"/>
          <w:szCs w:val="36"/>
          <w:lang w:eastAsia="zh-CN"/>
        </w:rPr>
        <w:t>审核表（远程）</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rPr>
      </w:pPr>
      <w:r>
        <w:rPr>
          <w:rFonts w:hint="eastAsia" w:ascii="仿宋" w:hAnsi="仿宋" w:eastAsia="仿宋" w:cs="仿宋"/>
          <w:color w:val="000000"/>
          <w:sz w:val="28"/>
          <w:szCs w:val="28"/>
        </w:rPr>
        <w:t>申报单位:</w:t>
      </w:r>
    </w:p>
    <w:tbl>
      <w:tblPr>
        <w:tblStyle w:val="11"/>
        <w:tblW w:w="56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6"/>
        <w:gridCol w:w="856"/>
        <w:gridCol w:w="4686"/>
        <w:gridCol w:w="2754"/>
        <w:gridCol w:w="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blHeade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2811" w:type="pct"/>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评审内容及要求</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评审分值</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34"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right="-34" w:rightChars="-14"/>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机构</w:t>
            </w:r>
          </w:p>
          <w:p>
            <w:pPr>
              <w:keepNext w:val="0"/>
              <w:keepLines w:val="0"/>
              <w:pageBreakBefore w:val="0"/>
              <w:widowControl w:val="0"/>
              <w:kinsoku/>
              <w:wordWrap/>
              <w:overflowPunct/>
              <w:topLinePunct w:val="0"/>
              <w:autoSpaceDE/>
              <w:autoSpaceDN/>
              <w:bidi w:val="0"/>
              <w:adjustRightInd/>
              <w:snapToGrid/>
              <w:spacing w:line="360" w:lineRule="exact"/>
              <w:ind w:right="-34" w:rightChars="-14"/>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为独立法人、合法机构（提供法人身份证件、营业执照、事业法人证书或者社会团体法人登记证书复印件）。</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highlight w:val="none"/>
                <w:lang w:val="en-US" w:eastAsia="zh-CN"/>
              </w:rPr>
              <w:t>具备</w:t>
            </w:r>
            <w:r>
              <w:rPr>
                <w:rFonts w:hint="eastAsia" w:ascii="仿宋" w:hAnsi="仿宋" w:eastAsia="仿宋" w:cs="仿宋"/>
                <w:color w:val="auto"/>
                <w:highlight w:val="none"/>
              </w:rPr>
              <w:t>培训资质或具有药学（中药学）专业高等教育教学</w:t>
            </w:r>
            <w:r>
              <w:rPr>
                <w:rFonts w:hint="eastAsia" w:ascii="仿宋" w:hAnsi="仿宋" w:eastAsia="仿宋" w:cs="仿宋"/>
                <w:color w:val="auto"/>
                <w:highlight w:val="none"/>
                <w:lang w:val="en-US" w:eastAsia="zh-CN"/>
              </w:rPr>
              <w:t>、专业技术培训</w:t>
            </w:r>
            <w:r>
              <w:rPr>
                <w:rFonts w:hint="eastAsia" w:ascii="仿宋" w:hAnsi="仿宋" w:eastAsia="仿宋" w:cs="仿宋"/>
                <w:color w:val="auto"/>
                <w:highlight w:val="none"/>
              </w:rPr>
              <w:t>的资质（提供相关部门许可资质复印件）</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办公或培训</w:t>
            </w:r>
            <w:r>
              <w:rPr>
                <w:rFonts w:hint="eastAsia" w:ascii="仿宋" w:hAnsi="仿宋" w:eastAsia="仿宋" w:cs="仿宋"/>
                <w:color w:val="auto"/>
                <w:sz w:val="24"/>
                <w:szCs w:val="24"/>
              </w:rPr>
              <w:t>地址与审批机关批准的相一致。</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7"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rPr>
              <w:t>4★</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2377" w:type="pct"/>
            <w:vAlign w:val="center"/>
          </w:tcPr>
          <w:p>
            <w:pPr>
              <w:pStyle w:val="21"/>
              <w:numPr>
                <w:ilvl w:val="0"/>
                <w:numId w:val="0"/>
              </w:numPr>
              <w:spacing w:line="240" w:lineRule="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eastAsia="zh-CN"/>
              </w:rPr>
              <w:t>申报前</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eastAsia="zh-CN"/>
              </w:rPr>
              <w:t>年内在经营活动中</w:t>
            </w:r>
            <w:r>
              <w:rPr>
                <w:rFonts w:hint="eastAsia" w:ascii="仿宋" w:hAnsi="仿宋" w:eastAsia="仿宋" w:cs="仿宋"/>
                <w:color w:val="auto"/>
                <w:kern w:val="0"/>
                <w:sz w:val="24"/>
                <w:szCs w:val="24"/>
                <w:lang w:val="en-US" w:eastAsia="zh-CN"/>
              </w:rPr>
              <w:t>没有重大违反相关法律法规行为、无不良信用记录。</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出具书面承诺</w:t>
            </w:r>
            <w:r>
              <w:rPr>
                <w:rFonts w:hint="eastAsia" w:ascii="仿宋" w:hAnsi="仿宋" w:eastAsia="仿宋" w:cs="仿宋"/>
                <w:color w:val="auto"/>
                <w:kern w:val="0"/>
                <w:sz w:val="24"/>
                <w:szCs w:val="24"/>
                <w:highlight w:val="none"/>
                <w:lang w:val="en-US" w:eastAsia="zh-CN"/>
              </w:rPr>
              <w:t>及</w:t>
            </w:r>
            <w:r>
              <w:rPr>
                <w:rFonts w:hint="eastAsia" w:ascii="仿宋" w:hAnsi="仿宋" w:eastAsia="仿宋" w:cs="仿宋"/>
                <w:color w:val="auto"/>
                <w:kern w:val="0"/>
                <w:sz w:val="24"/>
                <w:szCs w:val="24"/>
                <w:lang w:val="en-US" w:eastAsia="zh-CN"/>
              </w:rPr>
              <w:t>查询结果截图</w:t>
            </w:r>
            <w:r>
              <w:rPr>
                <w:rFonts w:hint="eastAsia" w:ascii="仿宋" w:hAnsi="仿宋" w:eastAsia="仿宋" w:cs="仿宋"/>
                <w:color w:val="auto"/>
                <w:sz w:val="24"/>
                <w:szCs w:val="24"/>
                <w:lang w:val="en-US" w:eastAsia="zh-CN"/>
              </w:rPr>
              <w:t>，如有虚假或隐瞒即取消资格。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2分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5</w:t>
            </w:r>
          </w:p>
        </w:tc>
        <w:tc>
          <w:tcPr>
            <w:tcW w:w="434"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设施和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技术</w:t>
            </w:r>
          </w:p>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要求</w:t>
            </w: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具有固定的办公场地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稳定的培训场所。</w:t>
            </w:r>
            <w:r>
              <w:rPr>
                <w:rFonts w:hint="eastAsia" w:ascii="仿宋" w:hAnsi="仿宋" w:eastAsia="仿宋" w:cs="仿宋"/>
                <w:color w:val="auto"/>
                <w:sz w:val="24"/>
                <w:szCs w:val="24"/>
                <w:lang w:val="en-US" w:eastAsia="zh-CN"/>
              </w:rPr>
              <w:t>办公</w:t>
            </w:r>
            <w:r>
              <w:rPr>
                <w:rFonts w:hint="eastAsia" w:ascii="仿宋" w:hAnsi="仿宋" w:eastAsia="仿宋" w:cs="仿宋"/>
                <w:color w:val="auto"/>
                <w:sz w:val="24"/>
                <w:szCs w:val="24"/>
              </w:rPr>
              <w:t>场地为租赁的，必须签订1年</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以上的</w:t>
            </w:r>
            <w:r>
              <w:rPr>
                <w:rFonts w:hint="eastAsia" w:ascii="仿宋" w:hAnsi="仿宋" w:eastAsia="仿宋" w:cs="仿宋"/>
                <w:color w:val="auto"/>
                <w:sz w:val="24"/>
                <w:szCs w:val="24"/>
                <w:lang w:eastAsia="zh-CN"/>
              </w:rPr>
              <w:t>租用协议</w:t>
            </w:r>
            <w:r>
              <w:rPr>
                <w:rFonts w:hint="eastAsia" w:ascii="仿宋" w:hAnsi="仿宋" w:eastAsia="仿宋" w:cs="仿宋"/>
                <w:color w:val="auto"/>
                <w:sz w:val="24"/>
                <w:szCs w:val="24"/>
              </w:rPr>
              <w:t>。不得</w:t>
            </w:r>
            <w:r>
              <w:rPr>
                <w:rFonts w:hint="eastAsia" w:ascii="仿宋" w:hAnsi="仿宋" w:eastAsia="仿宋" w:cs="仿宋"/>
                <w:color w:val="auto"/>
                <w:sz w:val="24"/>
                <w:szCs w:val="24"/>
                <w:lang w:val="en-US" w:eastAsia="zh-CN"/>
              </w:rPr>
              <w:t>使用</w:t>
            </w:r>
            <w:r>
              <w:rPr>
                <w:rFonts w:hint="eastAsia" w:ascii="仿宋" w:hAnsi="仿宋" w:eastAsia="仿宋" w:cs="仿宋"/>
                <w:color w:val="auto"/>
                <w:sz w:val="24"/>
                <w:szCs w:val="24"/>
              </w:rPr>
              <w:t>简易建筑物、</w:t>
            </w:r>
            <w:r>
              <w:rPr>
                <w:rFonts w:hint="eastAsia" w:ascii="仿宋" w:hAnsi="仿宋" w:eastAsia="仿宋" w:cs="仿宋"/>
                <w:color w:val="auto"/>
                <w:sz w:val="24"/>
                <w:szCs w:val="24"/>
                <w:lang w:val="en-US" w:eastAsia="zh-CN"/>
              </w:rPr>
              <w:t>危</w:t>
            </w:r>
            <w:r>
              <w:rPr>
                <w:rFonts w:hint="eastAsia" w:ascii="仿宋" w:hAnsi="仿宋" w:eastAsia="仿宋" w:cs="仿宋"/>
                <w:color w:val="auto"/>
                <w:sz w:val="24"/>
                <w:szCs w:val="24"/>
              </w:rPr>
              <w:t>房、地下设施、从事正常教学的中小学校舍以及其他不适合培训教学的场所作为</w:t>
            </w:r>
            <w:r>
              <w:rPr>
                <w:rFonts w:hint="eastAsia" w:ascii="仿宋" w:hAnsi="仿宋" w:eastAsia="仿宋" w:cs="仿宋"/>
                <w:color w:val="auto"/>
                <w:sz w:val="24"/>
                <w:szCs w:val="24"/>
                <w:lang w:eastAsia="zh-CN"/>
              </w:rPr>
              <w:t>培训</w:t>
            </w:r>
            <w:r>
              <w:rPr>
                <w:rFonts w:hint="eastAsia" w:ascii="仿宋" w:hAnsi="仿宋" w:eastAsia="仿宋" w:cs="仿宋"/>
                <w:color w:val="auto"/>
                <w:sz w:val="24"/>
                <w:szCs w:val="24"/>
              </w:rPr>
              <w:t>场地。</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rPr>
              <w:t>无</w:t>
            </w:r>
            <w:r>
              <w:rPr>
                <w:rFonts w:hint="eastAsia" w:ascii="仿宋" w:hAnsi="仿宋" w:eastAsia="仿宋" w:cs="仿宋"/>
                <w:color w:val="auto"/>
                <w:sz w:val="24"/>
                <w:szCs w:val="24"/>
                <w:lang w:val="en-US" w:eastAsia="zh-CN"/>
              </w:rPr>
              <w:t>固定办公</w:t>
            </w:r>
            <w:r>
              <w:rPr>
                <w:rFonts w:hint="eastAsia" w:ascii="仿宋" w:hAnsi="仿宋" w:eastAsia="仿宋" w:cs="仿宋"/>
                <w:color w:val="auto"/>
                <w:sz w:val="24"/>
                <w:szCs w:val="24"/>
              </w:rPr>
              <w:t>场地，不得分；提供固定资产证明或签订</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年以上的</w:t>
            </w:r>
            <w:r>
              <w:rPr>
                <w:rFonts w:hint="eastAsia" w:ascii="仿宋" w:hAnsi="仿宋" w:eastAsia="仿宋" w:cs="仿宋"/>
                <w:color w:val="auto"/>
                <w:sz w:val="24"/>
                <w:szCs w:val="24"/>
                <w:lang w:val="en-US" w:eastAsia="zh-CN"/>
              </w:rPr>
              <w:t>办公场地</w:t>
            </w:r>
            <w:r>
              <w:rPr>
                <w:rFonts w:hint="eastAsia" w:ascii="仿宋" w:hAnsi="仿宋" w:eastAsia="仿宋" w:cs="仿宋"/>
                <w:color w:val="auto"/>
                <w:sz w:val="24"/>
                <w:szCs w:val="24"/>
                <w:lang w:eastAsia="zh-CN"/>
              </w:rPr>
              <w:t>租用协议</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可作为培训场地的</w:t>
            </w:r>
            <w:r>
              <w:rPr>
                <w:rFonts w:hint="eastAsia" w:ascii="仿宋" w:hAnsi="仿宋" w:eastAsia="仿宋" w:cs="仿宋"/>
                <w:color w:val="auto"/>
                <w:sz w:val="24"/>
                <w:szCs w:val="24"/>
              </w:rPr>
              <w:t>固定资产证明</w:t>
            </w:r>
            <w:r>
              <w:rPr>
                <w:rFonts w:hint="eastAsia" w:ascii="仿宋" w:hAnsi="仿宋" w:eastAsia="仿宋" w:cs="仿宋"/>
                <w:color w:val="auto"/>
                <w:sz w:val="24"/>
                <w:szCs w:val="24"/>
                <w:lang w:val="en-US" w:eastAsia="zh-CN"/>
              </w:rPr>
              <w:t>或签订三年及以上协议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再得5分，满分7分。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lang w:val="en-US" w:eastAsia="zh-CN"/>
              </w:rPr>
              <w:t>确认权属的系统软件著作权证书。</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 w:hAnsi="仿宋" w:eastAsia="仿宋" w:cs="仿宋"/>
                <w:color w:val="000000"/>
                <w:sz w:val="24"/>
                <w:szCs w:val="24"/>
              </w:rPr>
            </w:pPr>
          </w:p>
        </w:tc>
        <w:tc>
          <w:tcPr>
            <w:tcW w:w="2377" w:type="pct"/>
            <w:vAlign w:val="center"/>
          </w:tcPr>
          <w:p>
            <w:pPr>
              <w:pStyle w:val="2"/>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rPr>
              <w:t>获得工信部</w:t>
            </w:r>
            <w:r>
              <w:rPr>
                <w:rFonts w:hint="eastAsia" w:ascii="仿宋" w:hAnsi="仿宋" w:eastAsia="仿宋" w:cs="仿宋"/>
                <w:color w:val="auto"/>
                <w:kern w:val="0"/>
                <w:sz w:val="24"/>
                <w:szCs w:val="24"/>
                <w:lang w:val="en-US" w:eastAsia="zh-CN"/>
              </w:rPr>
              <w:t>、公安部、国家市场监督管理总局等监管部门批准的相关资质，ICP备案号、公网安备号。</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FF0000"/>
                <w:sz w:val="24"/>
                <w:szCs w:val="24"/>
              </w:rPr>
            </w:pPr>
            <w:r>
              <w:rPr>
                <w:rFonts w:hint="eastAsia" w:ascii="仿宋" w:hAnsi="仿宋" w:eastAsia="仿宋" w:cs="仿宋"/>
                <w:color w:val="auto"/>
                <w:kern w:val="0"/>
                <w:sz w:val="24"/>
                <w:szCs w:val="24"/>
                <w:highlight w:val="none"/>
                <w:lang w:val="en-US" w:eastAsia="zh-CN"/>
              </w:rPr>
              <w:t>教学系统必须是独立系统。有自动记录学习日期、时间和内容监控功能。</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3分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9</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rPr>
              <w:t>具备稳定的在线学习、考试、评价以及信息修改查询、学时证书打印等功能模块。</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rPr>
              <w:t>同时支持PC端及移动客户端学习。</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提供一项的得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分，两项均能提供得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11</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w:t>
            </w:r>
            <w:r>
              <w:rPr>
                <w:rFonts w:hint="eastAsia" w:ascii="仿宋" w:hAnsi="仿宋" w:eastAsia="仿宋" w:cs="仿宋"/>
                <w:color w:val="auto"/>
                <w:sz w:val="24"/>
                <w:szCs w:val="24"/>
                <w:highlight w:val="none"/>
                <w:lang w:val="en-US" w:eastAsia="zh-CN"/>
              </w:rPr>
              <w:t>短信通道。</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12</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highlight w:val="none"/>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具备完整的信息档案记录，满足管理部门日常及后续监管要求的功能。</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2分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具备或租用</w:t>
            </w:r>
            <w:r>
              <w:rPr>
                <w:rFonts w:hint="eastAsia" w:ascii="仿宋" w:hAnsi="仿宋" w:eastAsia="仿宋" w:cs="仿宋"/>
                <w:color w:val="auto"/>
                <w:sz w:val="24"/>
                <w:szCs w:val="24"/>
              </w:rPr>
              <w:t>云端</w:t>
            </w:r>
            <w:r>
              <w:rPr>
                <w:rFonts w:hint="eastAsia" w:ascii="仿宋" w:hAnsi="仿宋" w:eastAsia="仿宋" w:cs="仿宋"/>
                <w:color w:val="auto"/>
                <w:sz w:val="24"/>
                <w:szCs w:val="24"/>
                <w:lang w:val="en-US" w:eastAsia="zh-CN"/>
              </w:rPr>
              <w:t>服务器</w:t>
            </w:r>
            <w:r>
              <w:rPr>
                <w:rFonts w:hint="eastAsia" w:ascii="仿宋" w:hAnsi="仿宋" w:eastAsia="仿宋" w:cs="仿宋"/>
                <w:color w:val="auto"/>
                <w:sz w:val="24"/>
                <w:szCs w:val="24"/>
              </w:rPr>
              <w:t>；能够在开展后与</w:t>
            </w:r>
            <w:r>
              <w:rPr>
                <w:rFonts w:hint="eastAsia" w:ascii="仿宋" w:hAnsi="仿宋" w:eastAsia="仿宋" w:cs="仿宋"/>
                <w:color w:val="auto"/>
                <w:sz w:val="24"/>
                <w:szCs w:val="24"/>
                <w:lang w:eastAsia="zh-CN"/>
              </w:rPr>
              <w:t>广东</w:t>
            </w:r>
            <w:r>
              <w:rPr>
                <w:rFonts w:hint="eastAsia" w:ascii="仿宋" w:hAnsi="仿宋" w:eastAsia="仿宋" w:cs="仿宋"/>
                <w:color w:val="auto"/>
                <w:sz w:val="24"/>
                <w:szCs w:val="24"/>
              </w:rPr>
              <w:t>省执业药师继续教育管理</w:t>
            </w:r>
            <w:r>
              <w:rPr>
                <w:rFonts w:hint="eastAsia" w:ascii="仿宋" w:hAnsi="仿宋" w:eastAsia="仿宋" w:cs="仿宋"/>
                <w:color w:val="auto"/>
                <w:sz w:val="24"/>
                <w:szCs w:val="24"/>
                <w:lang w:val="en-US" w:eastAsia="zh-CN"/>
              </w:rPr>
              <w:t>系统</w:t>
            </w:r>
            <w:r>
              <w:rPr>
                <w:rFonts w:hint="eastAsia" w:ascii="仿宋" w:hAnsi="仿宋" w:eastAsia="仿宋" w:cs="仿宋"/>
                <w:color w:val="auto"/>
                <w:sz w:val="24"/>
                <w:szCs w:val="24"/>
              </w:rPr>
              <w:t>实现数据</w:t>
            </w:r>
            <w:r>
              <w:rPr>
                <w:rFonts w:hint="eastAsia" w:ascii="仿宋" w:hAnsi="仿宋" w:eastAsia="仿宋" w:cs="仿宋"/>
                <w:color w:val="auto"/>
                <w:sz w:val="24"/>
                <w:szCs w:val="24"/>
                <w:lang w:val="en-US" w:eastAsia="zh-CN"/>
              </w:rPr>
              <w:t>有效</w:t>
            </w:r>
            <w:r>
              <w:rPr>
                <w:rFonts w:hint="eastAsia" w:ascii="仿宋" w:hAnsi="仿宋" w:eastAsia="仿宋" w:cs="仿宋"/>
                <w:color w:val="auto"/>
                <w:sz w:val="24"/>
                <w:szCs w:val="24"/>
              </w:rPr>
              <w:t>对接。</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有云端服务器得1分，</w:t>
            </w:r>
            <w:r>
              <w:rPr>
                <w:rFonts w:hint="eastAsia" w:ascii="仿宋" w:hAnsi="仿宋" w:eastAsia="仿宋" w:cs="仿宋"/>
                <w:strike w:val="0"/>
                <w:color w:val="auto"/>
                <w:sz w:val="24"/>
                <w:szCs w:val="24"/>
                <w:highlight w:val="none"/>
                <w:lang w:val="en-US" w:eastAsia="zh-CN"/>
              </w:rPr>
              <w:t>承诺</w:t>
            </w:r>
            <w:r>
              <w:rPr>
                <w:rFonts w:hint="eastAsia" w:ascii="仿宋" w:hAnsi="仿宋" w:eastAsia="仿宋" w:cs="仿宋"/>
                <w:color w:val="auto"/>
                <w:sz w:val="24"/>
                <w:szCs w:val="24"/>
                <w:highlight w:val="none"/>
                <w:lang w:val="en-US" w:eastAsia="zh-CN"/>
              </w:rPr>
              <w:t>有效对接管理系统再得1分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满分2分。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服务器性能、存储空间、接入带宽能够保障正常运营。</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具备网络安全等级保护备案（等保）。</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没有定级不得分，定级为二级的得2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定级为三级的得4分。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具备容灾备份等安全保护机制。</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0"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17</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color w:val="auto"/>
                <w:sz w:val="24"/>
                <w:szCs w:val="24"/>
              </w:rPr>
            </w:pPr>
            <w:r>
              <w:rPr>
                <w:rFonts w:hint="eastAsia" w:ascii="仿宋" w:hAnsi="仿宋" w:eastAsia="仿宋" w:cs="仿宋"/>
                <w:color w:val="auto"/>
                <w:sz w:val="24"/>
                <w:szCs w:val="24"/>
                <w:lang w:val="en-US" w:eastAsia="zh-CN"/>
              </w:rPr>
              <w:t>具备</w:t>
            </w:r>
            <w:r>
              <w:rPr>
                <w:rFonts w:hint="eastAsia" w:ascii="仿宋" w:hAnsi="仿宋" w:eastAsia="仿宋" w:cs="仿宋"/>
                <w:color w:val="auto"/>
                <w:sz w:val="24"/>
                <w:szCs w:val="24"/>
              </w:rPr>
              <w:t>规范教育培训，防止作弊功能。</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具有防代学措施得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具有防挂机措施得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具有人脸识别功能得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每增加1个其他规范教育培训信息化技术功能加1分，最多加至2分。满分5分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18</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师资要求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B0F0"/>
                <w:sz w:val="24"/>
                <w:szCs w:val="24"/>
                <w:lang w:val="en-US" w:eastAsia="zh-CN"/>
              </w:rPr>
            </w:pPr>
            <w:r>
              <w:rPr>
                <w:rFonts w:hint="eastAsia" w:ascii="仿宋" w:hAnsi="仿宋" w:eastAsia="仿宋" w:cs="仿宋"/>
                <w:color w:val="auto"/>
                <w:sz w:val="24"/>
                <w:szCs w:val="24"/>
                <w:lang w:val="en-US" w:eastAsia="zh-CN"/>
              </w:rPr>
              <w:t>15分</w:t>
            </w: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000000"/>
                <w:sz w:val="24"/>
                <w:szCs w:val="24"/>
                <w:lang w:val="en-US" w:eastAsia="zh-CN"/>
              </w:rPr>
              <w:t>拥</w:t>
            </w:r>
            <w:r>
              <w:rPr>
                <w:rFonts w:hint="eastAsia" w:ascii="仿宋" w:hAnsi="仿宋" w:eastAsia="仿宋" w:cs="仿宋"/>
                <w:color w:val="000000"/>
                <w:sz w:val="24"/>
                <w:szCs w:val="24"/>
              </w:rPr>
              <w:t>有稳定的专业师资队伍</w:t>
            </w:r>
            <w:r>
              <w:rPr>
                <w:rFonts w:hint="eastAsia" w:ascii="仿宋" w:hAnsi="仿宋" w:eastAsia="仿宋" w:cs="仿宋"/>
                <w:color w:val="auto"/>
                <w:sz w:val="24"/>
                <w:szCs w:val="24"/>
              </w:rPr>
              <w:t>。师资总数不少于20名；</w:t>
            </w:r>
            <w:r>
              <w:rPr>
                <w:rFonts w:hint="eastAsia" w:ascii="仿宋" w:hAnsi="仿宋" w:eastAsia="仿宋" w:cs="仿宋"/>
                <w:color w:val="auto"/>
                <w:kern w:val="0"/>
                <w:sz w:val="24"/>
                <w:szCs w:val="24"/>
                <w:highlight w:val="none"/>
                <w:lang w:val="en-US" w:eastAsia="zh-CN"/>
              </w:rPr>
              <w:t>部分课程师资要求具有执业药师继续教育或药学专业技术人员、药</w:t>
            </w:r>
            <w:r>
              <w:rPr>
                <w:rFonts w:hint="eastAsia" w:ascii="仿宋" w:hAnsi="仿宋" w:eastAsia="仿宋" w:cs="仿宋"/>
                <w:color w:val="000000"/>
                <w:kern w:val="0"/>
                <w:sz w:val="24"/>
                <w:szCs w:val="24"/>
                <w:highlight w:val="none"/>
                <w:lang w:val="en-US" w:eastAsia="zh-CN"/>
              </w:rPr>
              <w:t>品监管人员教育培训工作经验</w:t>
            </w:r>
            <w:r>
              <w:rPr>
                <w:rFonts w:hint="eastAsia" w:ascii="仿宋" w:hAnsi="仿宋" w:eastAsia="仿宋" w:cs="仿宋"/>
                <w:color w:val="000000"/>
                <w:sz w:val="24"/>
                <w:szCs w:val="24"/>
              </w:rPr>
              <w:t>(提供培训师资人员相关证明材料复印件)</w:t>
            </w:r>
            <w:r>
              <w:rPr>
                <w:rFonts w:hint="eastAsia" w:ascii="仿宋" w:hAnsi="仿宋" w:eastAsia="仿宋" w:cs="仿宋"/>
                <w:color w:val="000000"/>
                <w:sz w:val="24"/>
                <w:szCs w:val="24"/>
                <w:lang w:eastAsia="zh-CN"/>
              </w:rPr>
              <w:t>。</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000000"/>
                <w:sz w:val="24"/>
                <w:szCs w:val="24"/>
              </w:rPr>
              <w:t>师资应能涵盖药学高等教育、药品生产、批发、零售、使用和药学服务等多个领域</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为行业内资深专家或具备药学类、中药学类相关专业副高及以上职称人员，</w:t>
            </w:r>
            <w:r>
              <w:rPr>
                <w:rFonts w:hint="eastAsia" w:ascii="仿宋" w:hAnsi="仿宋" w:eastAsia="仿宋" w:cs="仿宋"/>
                <w:color w:val="000000"/>
                <w:sz w:val="24"/>
                <w:szCs w:val="24"/>
                <w:lang w:eastAsia="zh-CN"/>
              </w:rPr>
              <w:t>达到以上条件得</w:t>
            </w:r>
            <w:r>
              <w:rPr>
                <w:rFonts w:hint="eastAsia" w:ascii="仿宋" w:hAnsi="仿宋" w:eastAsia="仿宋" w:cs="仿宋"/>
                <w:color w:val="000000"/>
                <w:sz w:val="24"/>
                <w:szCs w:val="24"/>
                <w:lang w:val="en-US" w:eastAsia="zh-CN"/>
              </w:rPr>
              <w:t>5分；师资</w:t>
            </w:r>
            <w:r>
              <w:rPr>
                <w:rFonts w:hint="eastAsia" w:ascii="仿宋" w:hAnsi="仿宋" w:eastAsia="仿宋" w:cs="仿宋"/>
                <w:color w:val="000000"/>
                <w:sz w:val="24"/>
                <w:szCs w:val="24"/>
              </w:rPr>
              <w:t>达到</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人得</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分，每增加</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人加</w:t>
            </w:r>
            <w:r>
              <w:rPr>
                <w:rFonts w:hint="eastAsia" w:ascii="仿宋" w:hAnsi="仿宋" w:eastAsia="仿宋" w:cs="仿宋"/>
                <w:color w:val="000000"/>
                <w:sz w:val="24"/>
                <w:szCs w:val="24"/>
                <w:lang w:val="en-US" w:eastAsia="zh-CN"/>
              </w:rPr>
              <w:t>0.5</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最多加至</w:t>
            </w:r>
            <w:r>
              <w:rPr>
                <w:rFonts w:hint="eastAsia" w:ascii="仿宋" w:hAnsi="仿宋" w:eastAsia="仿宋" w:cs="仿宋"/>
                <w:color w:val="000000"/>
                <w:sz w:val="24"/>
                <w:szCs w:val="24"/>
                <w:lang w:val="en-US" w:eastAsia="zh-CN"/>
              </w:rPr>
              <w:t>10分</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满分</w:t>
            </w:r>
            <w:r>
              <w:rPr>
                <w:rFonts w:hint="eastAsia" w:ascii="仿宋" w:hAnsi="仿宋" w:eastAsia="仿宋" w:cs="仿宋"/>
                <w:color w:val="000000"/>
                <w:sz w:val="24"/>
                <w:szCs w:val="24"/>
                <w:lang w:val="en-US" w:eastAsia="zh-CN"/>
              </w:rPr>
              <w:t>15分。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19</w:t>
            </w:r>
          </w:p>
        </w:tc>
        <w:tc>
          <w:tcPr>
            <w:tcW w:w="434"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管理要求和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支持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提供组织架构图。</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1分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具备</w:t>
            </w:r>
            <w:r>
              <w:rPr>
                <w:rFonts w:hint="eastAsia" w:ascii="仿宋" w:hAnsi="仿宋" w:eastAsia="仿宋" w:cs="仿宋"/>
                <w:color w:val="auto"/>
                <w:sz w:val="24"/>
                <w:szCs w:val="24"/>
              </w:rPr>
              <w:t>完善的机构行政管理、教学管理、保密管理、档案管理、财会管理</w:t>
            </w:r>
            <w:r>
              <w:rPr>
                <w:rFonts w:hint="eastAsia" w:ascii="仿宋" w:hAnsi="仿宋" w:eastAsia="仿宋" w:cs="仿宋"/>
                <w:color w:val="auto"/>
                <w:sz w:val="24"/>
                <w:szCs w:val="24"/>
                <w:lang w:val="en-US" w:eastAsia="zh-CN"/>
              </w:rPr>
              <w:t>、</w:t>
            </w:r>
            <w:r>
              <w:rPr>
                <w:rFonts w:hint="eastAsia" w:ascii="仿宋" w:hAnsi="仿宋" w:eastAsia="仿宋" w:cs="仿宋"/>
                <w:color w:val="auto"/>
                <w:kern w:val="0"/>
                <w:sz w:val="24"/>
                <w:szCs w:val="24"/>
                <w:highlight w:val="none"/>
                <w:lang w:val="en-US" w:eastAsia="zh-CN"/>
              </w:rPr>
              <w:t>数据安全管理</w:t>
            </w:r>
            <w:r>
              <w:rPr>
                <w:rFonts w:hint="eastAsia" w:ascii="仿宋" w:hAnsi="仿宋" w:eastAsia="仿宋" w:cs="仿宋"/>
                <w:color w:val="auto"/>
                <w:sz w:val="24"/>
                <w:szCs w:val="24"/>
              </w:rPr>
              <w:t>和应急预案等各项规章制度，并能有效实施。</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满</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分，每少1项</w:t>
            </w:r>
            <w:r>
              <w:rPr>
                <w:rFonts w:hint="eastAsia" w:ascii="仿宋" w:hAnsi="仿宋" w:eastAsia="仿宋" w:cs="仿宋"/>
                <w:color w:val="auto"/>
                <w:sz w:val="24"/>
                <w:szCs w:val="24"/>
                <w:lang w:val="en-US" w:eastAsia="zh-CN"/>
              </w:rPr>
              <w:t>少1</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，扣完</w:t>
            </w:r>
            <w:r>
              <w:rPr>
                <w:rFonts w:hint="eastAsia" w:ascii="仿宋" w:hAnsi="仿宋" w:eastAsia="仿宋" w:cs="仿宋"/>
                <w:color w:val="auto"/>
                <w:sz w:val="24"/>
                <w:szCs w:val="24"/>
                <w:lang w:val="en-US" w:eastAsia="zh-CN"/>
              </w:rPr>
              <w:t>3分</w:t>
            </w:r>
            <w:r>
              <w:rPr>
                <w:rFonts w:hint="eastAsia" w:ascii="仿宋" w:hAnsi="仿宋" w:eastAsia="仿宋" w:cs="仿宋"/>
                <w:color w:val="auto"/>
                <w:sz w:val="24"/>
                <w:szCs w:val="24"/>
                <w:lang w:eastAsia="zh-CN"/>
              </w:rPr>
              <w:t>为止。</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依法</w:t>
            </w:r>
            <w:r>
              <w:rPr>
                <w:rFonts w:hint="eastAsia" w:ascii="仿宋" w:hAnsi="仿宋" w:eastAsia="仿宋" w:cs="仿宋"/>
                <w:color w:val="auto"/>
                <w:sz w:val="24"/>
                <w:szCs w:val="24"/>
                <w:lang w:val="en-US" w:eastAsia="zh-CN"/>
              </w:rPr>
              <w:t>缴纳税收证明和健全的财务会计制度承诺函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坚持收费公示制度；使用合法票据</w:t>
            </w:r>
            <w:r>
              <w:rPr>
                <w:rFonts w:hint="eastAsia" w:ascii="仿宋" w:hAnsi="仿宋" w:eastAsia="仿宋" w:cs="仿宋"/>
                <w:color w:val="auto"/>
                <w:sz w:val="24"/>
                <w:szCs w:val="24"/>
                <w:lang w:val="en-US" w:eastAsia="zh-CN"/>
              </w:rPr>
              <w:t>进行收费</w:t>
            </w:r>
            <w:r>
              <w:rPr>
                <w:rFonts w:hint="eastAsia" w:ascii="仿宋" w:hAnsi="仿宋" w:eastAsia="仿宋" w:cs="仿宋"/>
                <w:color w:val="auto"/>
                <w:sz w:val="24"/>
                <w:szCs w:val="24"/>
                <w:lang w:eastAsia="zh-CN"/>
              </w:rPr>
              <w:t>。</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满</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分，每少一项</w:t>
            </w:r>
            <w:r>
              <w:rPr>
                <w:rFonts w:hint="eastAsia" w:ascii="仿宋" w:hAnsi="仿宋" w:eastAsia="仿宋" w:cs="仿宋"/>
                <w:color w:val="auto"/>
                <w:sz w:val="24"/>
                <w:szCs w:val="24"/>
                <w:lang w:val="en-US" w:eastAsia="zh-CN"/>
              </w:rPr>
              <w:t>少1</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，扣完</w:t>
            </w:r>
            <w:r>
              <w:rPr>
                <w:rFonts w:hint="eastAsia" w:ascii="仿宋" w:hAnsi="仿宋" w:eastAsia="仿宋" w:cs="仿宋"/>
                <w:color w:val="auto"/>
                <w:sz w:val="24"/>
                <w:szCs w:val="24"/>
                <w:lang w:val="en-US" w:eastAsia="zh-CN"/>
              </w:rPr>
              <w:t>2分为止</w:t>
            </w:r>
            <w:r>
              <w:rPr>
                <w:rFonts w:hint="eastAsia" w:ascii="仿宋" w:hAnsi="仿宋" w:eastAsia="仿宋" w:cs="仿宋"/>
                <w:color w:val="auto"/>
                <w:sz w:val="24"/>
                <w:szCs w:val="24"/>
              </w:rPr>
              <w:t>。</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22</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有</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名以上具有药学类、中药学类相关专业背景的专职管理人员(提供专职的培训管理人员身份证及相关证明材料复印件)</w:t>
            </w:r>
            <w:r>
              <w:rPr>
                <w:rFonts w:hint="eastAsia" w:ascii="仿宋" w:hAnsi="仿宋" w:eastAsia="仿宋" w:cs="仿宋"/>
                <w:color w:val="auto"/>
                <w:sz w:val="24"/>
                <w:szCs w:val="24"/>
                <w:lang w:eastAsia="zh-CN"/>
              </w:rPr>
              <w:t>。</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具备</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名符合条件人员得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分，每增加1人加</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满分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lang w:val="en-US" w:eastAsia="zh-CN"/>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具有技术开发维护服务。</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具备1名技术开发运维人员得1分，具备2名及以上得2分；其中有两名人员为专职人员再得2分。满分4分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24</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400"/>
              <w:jc w:val="center"/>
              <w:textAlignment w:val="auto"/>
              <w:rPr>
                <w:rFonts w:hint="eastAsia" w:ascii="仿宋" w:hAnsi="仿宋" w:eastAsia="仿宋" w:cs="仿宋"/>
                <w:color w:val="000000"/>
                <w:sz w:val="24"/>
                <w:szCs w:val="24"/>
              </w:rPr>
            </w:pPr>
          </w:p>
        </w:tc>
        <w:tc>
          <w:tcPr>
            <w:tcW w:w="2377"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具备必要的客服条件。能通过网络在线、电话、电子邮件、现场服务等方式及时解决学员在接受执业药师继续教育过程中出现的问题。</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具备1名专职客服人员得1分，每增加1人加0.5分，满分2</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25</w:t>
            </w:r>
          </w:p>
        </w:tc>
        <w:tc>
          <w:tcPr>
            <w:tcW w:w="434"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运营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能力</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分</w:t>
            </w: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具备成熟的医药</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行业职业教育培训开展经验与服务水平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得到相关主管部门的认可或表彰</w:t>
            </w:r>
            <w:r>
              <w:rPr>
                <w:rFonts w:hint="eastAsia" w:ascii="仿宋" w:hAnsi="仿宋" w:eastAsia="仿宋" w:cs="仿宋"/>
                <w:color w:val="auto"/>
                <w:sz w:val="24"/>
                <w:szCs w:val="24"/>
              </w:rPr>
              <w:t>。</w:t>
            </w:r>
          </w:p>
        </w:tc>
        <w:tc>
          <w:tcPr>
            <w:tcW w:w="27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承担地市及以下级别相关培训</w:t>
            </w:r>
            <w:r>
              <w:rPr>
                <w:rFonts w:hint="eastAsia" w:ascii="仿宋" w:hAnsi="仿宋" w:eastAsia="仿宋" w:cs="仿宋"/>
                <w:color w:val="auto"/>
                <w:sz w:val="24"/>
                <w:szCs w:val="24"/>
              </w:rPr>
              <w:t>证明资料的，得</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承担省级相关培训</w:t>
            </w:r>
            <w:r>
              <w:rPr>
                <w:rFonts w:hint="eastAsia" w:ascii="仿宋" w:hAnsi="仿宋" w:eastAsia="仿宋" w:cs="仿宋"/>
                <w:color w:val="auto"/>
                <w:sz w:val="24"/>
                <w:szCs w:val="24"/>
              </w:rPr>
              <w:t>证明资料的，得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val="en-US" w:eastAsia="zh-CN"/>
              </w:rPr>
              <w:t>承担国家级相关培训</w:t>
            </w:r>
            <w:r>
              <w:rPr>
                <w:rFonts w:hint="eastAsia" w:ascii="仿宋" w:hAnsi="仿宋" w:eastAsia="仿宋" w:cs="仿宋"/>
                <w:color w:val="auto"/>
                <w:sz w:val="24"/>
                <w:szCs w:val="24"/>
              </w:rPr>
              <w:t>证明资料的，得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累计最多5分；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lang w:val="en-US" w:eastAsia="zh-CN"/>
              </w:rPr>
              <w:t>得到相关主管部门的认可或表彰，提供一个案例得1分，每增加1个案例加1分，最多加至3分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满分8分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具备运营执业药师继续教育或其他专业技术岗位人才培养、资格培训考核、继续教育的经验。</w:t>
            </w:r>
          </w:p>
        </w:tc>
        <w:tc>
          <w:tcPr>
            <w:tcW w:w="27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提供近1年证明资料的，得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提供近</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年证明材料的，得</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提供近</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年证明资料的，得</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sz w:val="24"/>
                <w:szCs w:val="24"/>
                <w:lang w:val="en-US" w:eastAsia="zh-CN"/>
              </w:rPr>
              <w:t>27</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具备医药行业法规政策及药学服务专业研究能力，或社会服务公益服务能力。</w:t>
            </w:r>
          </w:p>
        </w:tc>
        <w:tc>
          <w:tcPr>
            <w:tcW w:w="27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每提供1个</w:t>
            </w:r>
            <w:r>
              <w:rPr>
                <w:rFonts w:hint="eastAsia" w:ascii="仿宋" w:hAnsi="仿宋" w:eastAsia="仿宋" w:cs="仿宋"/>
                <w:color w:val="auto"/>
                <w:sz w:val="24"/>
                <w:szCs w:val="24"/>
                <w:lang w:val="en-US" w:eastAsia="zh-CN"/>
              </w:rPr>
              <w:t>成功</w:t>
            </w:r>
            <w:r>
              <w:rPr>
                <w:rFonts w:hint="eastAsia" w:ascii="仿宋" w:hAnsi="仿宋" w:eastAsia="仿宋" w:cs="仿宋"/>
                <w:color w:val="auto"/>
                <w:sz w:val="24"/>
                <w:szCs w:val="24"/>
              </w:rPr>
              <w:t>案例得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分，满分</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28</w:t>
            </w:r>
          </w:p>
        </w:tc>
        <w:tc>
          <w:tcPr>
            <w:tcW w:w="434"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具备粤港澳执业药师交流、实施港澳执业药师继续教育能力（提供相关证明材料）。</w:t>
            </w:r>
          </w:p>
        </w:tc>
        <w:tc>
          <w:tcPr>
            <w:tcW w:w="275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3245" w:type="pct"/>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总得分</w:t>
            </w:r>
          </w:p>
        </w:tc>
        <w:tc>
          <w:tcPr>
            <w:tcW w:w="139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分</w:t>
            </w:r>
          </w:p>
        </w:tc>
        <w:tc>
          <w:tcPr>
            <w:tcW w:w="35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注:★</w:t>
      </w:r>
      <w:r>
        <w:rPr>
          <w:rFonts w:hint="eastAsia" w:ascii="仿宋" w:hAnsi="仿宋" w:eastAsia="仿宋" w:cs="仿宋"/>
          <w:color w:val="000000"/>
          <w:sz w:val="24"/>
          <w:szCs w:val="24"/>
          <w:lang w:eastAsia="zh-CN"/>
        </w:rPr>
        <w:t>项为必须具备的条件，如有缺项，取消资格</w:t>
      </w:r>
      <w:r>
        <w:rPr>
          <w:rFonts w:hint="eastAsia" w:ascii="仿宋" w:hAnsi="仿宋" w:eastAsia="仿宋" w:cs="仿宋"/>
          <w:color w:val="000000"/>
          <w:sz w:val="24"/>
          <w:szCs w:val="24"/>
        </w:rPr>
        <w:t>。</w:t>
      </w:r>
    </w:p>
    <w:p/>
    <w:sectPr>
      <w:footerReference r:id="rId3" w:type="default"/>
      <w:pgSz w:w="11900" w:h="16840"/>
      <w:pgMar w:top="1361" w:right="1701" w:bottom="1418" w:left="1701" w:header="851" w:footer="992" w:gutter="0"/>
      <w:pgBorders>
        <w:top w:val="none" w:sz="0" w:space="0"/>
        <w:left w:val="none" w:sz="0" w:space="0"/>
        <w:bottom w:val="none" w:sz="0" w:space="0"/>
        <w:right w:val="none" w:sz="0" w:space="0"/>
      </w:pgBorders>
      <w:pgNumType w:fmt="decimal"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597B987-3738-4D07-9C45-855DB40AF60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E6F43E0-05D7-4659-B507-CC702BF323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embedRegular r:id="rId3" w:fontKey="{ECA14CC5-8D62-4027-986D-5FEEF4F6734A}"/>
  </w:font>
  <w:font w:name="微软雅黑">
    <w:panose1 w:val="020B0503020204020204"/>
    <w:charset w:val="86"/>
    <w:family w:val="auto"/>
    <w:pitch w:val="default"/>
    <w:sig w:usb0="80000287" w:usb1="2ACF3C50" w:usb2="00000016" w:usb3="00000000" w:csb0="0004001F" w:csb1="00000000"/>
    <w:embedRegular r:id="rId4" w:fontKey="{AEF7F2CE-F8CA-47DE-A597-0F0281343D1C}"/>
  </w:font>
  <w:font w:name="仿宋_GB2312">
    <w:panose1 w:val="02010609030101010101"/>
    <w:charset w:val="86"/>
    <w:family w:val="modern"/>
    <w:pitch w:val="default"/>
    <w:sig w:usb0="00000001" w:usb1="080E0000" w:usb2="00000000" w:usb3="00000000" w:csb0="00040000" w:csb1="00000000"/>
    <w:embedRegular r:id="rId5" w:fontKey="{DFAABFEE-02DD-4D26-9B08-00C2C8AC628C}"/>
  </w:font>
  <w:font w:name="楷体">
    <w:panose1 w:val="02010609060101010101"/>
    <w:charset w:val="86"/>
    <w:family w:val="auto"/>
    <w:pitch w:val="default"/>
    <w:sig w:usb0="800002BF" w:usb1="38CF7CFA" w:usb2="00000016" w:usb3="00000000" w:csb0="00040001" w:csb1="00000000"/>
    <w:embedRegular r:id="rId6" w:fontKey="{3D95EBF8-7238-4929-BCE1-0DE98E8C312C}"/>
  </w:font>
  <w:font w:name="仿宋">
    <w:panose1 w:val="02010609060101010101"/>
    <w:charset w:val="86"/>
    <w:family w:val="auto"/>
    <w:pitch w:val="default"/>
    <w:sig w:usb0="800002BF" w:usb1="38CF7CFA" w:usb2="00000016" w:usb3="00000000" w:csb0="00040001" w:csb1="00000000"/>
    <w:embedRegular r:id="rId7" w:fontKey="{F8C99492-8AB5-4533-94A1-89CD8FBB3A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37DE8"/>
    <w:multiLevelType w:val="singleLevel"/>
    <w:tmpl w:val="94337DE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1B66"/>
    <w:rsid w:val="004C178B"/>
    <w:rsid w:val="008A1270"/>
    <w:rsid w:val="008B6CF2"/>
    <w:rsid w:val="00B32434"/>
    <w:rsid w:val="00C13948"/>
    <w:rsid w:val="01040F3A"/>
    <w:rsid w:val="01146111"/>
    <w:rsid w:val="01D45D8F"/>
    <w:rsid w:val="01DD7365"/>
    <w:rsid w:val="01F81447"/>
    <w:rsid w:val="021A2646"/>
    <w:rsid w:val="025C116B"/>
    <w:rsid w:val="02890D36"/>
    <w:rsid w:val="02994853"/>
    <w:rsid w:val="03043F03"/>
    <w:rsid w:val="039A4998"/>
    <w:rsid w:val="03AF5F96"/>
    <w:rsid w:val="040A59AF"/>
    <w:rsid w:val="04182746"/>
    <w:rsid w:val="041F20D1"/>
    <w:rsid w:val="0443480E"/>
    <w:rsid w:val="0458352F"/>
    <w:rsid w:val="049D299F"/>
    <w:rsid w:val="04CD56ED"/>
    <w:rsid w:val="0508204E"/>
    <w:rsid w:val="050E77DB"/>
    <w:rsid w:val="053A44EC"/>
    <w:rsid w:val="057C58FB"/>
    <w:rsid w:val="059356D1"/>
    <w:rsid w:val="05C9468B"/>
    <w:rsid w:val="05D27519"/>
    <w:rsid w:val="06125D84"/>
    <w:rsid w:val="061C5704"/>
    <w:rsid w:val="068602C1"/>
    <w:rsid w:val="06DD6751"/>
    <w:rsid w:val="07541C13"/>
    <w:rsid w:val="07747F4A"/>
    <w:rsid w:val="078523E2"/>
    <w:rsid w:val="07B973B9"/>
    <w:rsid w:val="07CA2ED7"/>
    <w:rsid w:val="07E40E10"/>
    <w:rsid w:val="07FB3217"/>
    <w:rsid w:val="07FB58A4"/>
    <w:rsid w:val="08413E1A"/>
    <w:rsid w:val="08576AC4"/>
    <w:rsid w:val="08747AEC"/>
    <w:rsid w:val="08A27337"/>
    <w:rsid w:val="091A7535"/>
    <w:rsid w:val="095D47F0"/>
    <w:rsid w:val="0963513F"/>
    <w:rsid w:val="097A1942"/>
    <w:rsid w:val="0A2D0142"/>
    <w:rsid w:val="0A362058"/>
    <w:rsid w:val="0A623A94"/>
    <w:rsid w:val="0A6F6F6E"/>
    <w:rsid w:val="0A8452CE"/>
    <w:rsid w:val="0ABA57A8"/>
    <w:rsid w:val="0B03361E"/>
    <w:rsid w:val="0B813EEC"/>
    <w:rsid w:val="0BE0313C"/>
    <w:rsid w:val="0C46667F"/>
    <w:rsid w:val="0C5F38DA"/>
    <w:rsid w:val="0CBE27FA"/>
    <w:rsid w:val="0CD04E93"/>
    <w:rsid w:val="0CD7229F"/>
    <w:rsid w:val="0CDD39C9"/>
    <w:rsid w:val="0CEC7160"/>
    <w:rsid w:val="0D44323D"/>
    <w:rsid w:val="0DB60DE4"/>
    <w:rsid w:val="0E224840"/>
    <w:rsid w:val="0E367C5D"/>
    <w:rsid w:val="0E383160"/>
    <w:rsid w:val="0E773F4A"/>
    <w:rsid w:val="0E85325F"/>
    <w:rsid w:val="0E9E5CD9"/>
    <w:rsid w:val="0EA61216"/>
    <w:rsid w:val="0ED46862"/>
    <w:rsid w:val="0F164D4D"/>
    <w:rsid w:val="0F534BB2"/>
    <w:rsid w:val="0F684B57"/>
    <w:rsid w:val="0F8D1119"/>
    <w:rsid w:val="0FA820BD"/>
    <w:rsid w:val="0FF024B1"/>
    <w:rsid w:val="101471EE"/>
    <w:rsid w:val="1016441A"/>
    <w:rsid w:val="109B1C50"/>
    <w:rsid w:val="111F5F5F"/>
    <w:rsid w:val="1186164E"/>
    <w:rsid w:val="11AB188E"/>
    <w:rsid w:val="11E12C61"/>
    <w:rsid w:val="122A215C"/>
    <w:rsid w:val="12386EF3"/>
    <w:rsid w:val="128D43FF"/>
    <w:rsid w:val="12A365A3"/>
    <w:rsid w:val="13126856"/>
    <w:rsid w:val="132D2C84"/>
    <w:rsid w:val="1354257E"/>
    <w:rsid w:val="13714672"/>
    <w:rsid w:val="13884297"/>
    <w:rsid w:val="13902D15"/>
    <w:rsid w:val="13AC0FD3"/>
    <w:rsid w:val="13D61E18"/>
    <w:rsid w:val="13DE7224"/>
    <w:rsid w:val="14074262"/>
    <w:rsid w:val="1417030B"/>
    <w:rsid w:val="143321B1"/>
    <w:rsid w:val="144222F5"/>
    <w:rsid w:val="14717A98"/>
    <w:rsid w:val="14981ED6"/>
    <w:rsid w:val="14C40B8C"/>
    <w:rsid w:val="1542236E"/>
    <w:rsid w:val="15892AE3"/>
    <w:rsid w:val="159325B0"/>
    <w:rsid w:val="15C70160"/>
    <w:rsid w:val="16080E33"/>
    <w:rsid w:val="16281367"/>
    <w:rsid w:val="163A7411"/>
    <w:rsid w:val="16456719"/>
    <w:rsid w:val="169961A3"/>
    <w:rsid w:val="17AA5FE0"/>
    <w:rsid w:val="17C25D22"/>
    <w:rsid w:val="17FA7064"/>
    <w:rsid w:val="1807637A"/>
    <w:rsid w:val="186304AF"/>
    <w:rsid w:val="18656601"/>
    <w:rsid w:val="18877F4D"/>
    <w:rsid w:val="18B9039C"/>
    <w:rsid w:val="191C3C90"/>
    <w:rsid w:val="1986426C"/>
    <w:rsid w:val="19A370E9"/>
    <w:rsid w:val="19C22452"/>
    <w:rsid w:val="1A287679"/>
    <w:rsid w:val="1A63726B"/>
    <w:rsid w:val="1A6F3EF7"/>
    <w:rsid w:val="1A9A4135"/>
    <w:rsid w:val="1ABA384B"/>
    <w:rsid w:val="1BD163B0"/>
    <w:rsid w:val="1BEC3A61"/>
    <w:rsid w:val="1C1F1D32"/>
    <w:rsid w:val="1C2A22C1"/>
    <w:rsid w:val="1C756EBE"/>
    <w:rsid w:val="1C775C44"/>
    <w:rsid w:val="1C7E1C28"/>
    <w:rsid w:val="1D6A2C4E"/>
    <w:rsid w:val="1DE52597"/>
    <w:rsid w:val="1E8E3191"/>
    <w:rsid w:val="1E9F5123"/>
    <w:rsid w:val="1EAA6E5D"/>
    <w:rsid w:val="1EEF1B50"/>
    <w:rsid w:val="1FAF670B"/>
    <w:rsid w:val="1FB83797"/>
    <w:rsid w:val="20DC0077"/>
    <w:rsid w:val="213E4898"/>
    <w:rsid w:val="21E140A1"/>
    <w:rsid w:val="21F60B6A"/>
    <w:rsid w:val="22684FD9"/>
    <w:rsid w:val="22D55A6C"/>
    <w:rsid w:val="23761F39"/>
    <w:rsid w:val="23B74027"/>
    <w:rsid w:val="23B81AA9"/>
    <w:rsid w:val="243335F1"/>
    <w:rsid w:val="24D50BFC"/>
    <w:rsid w:val="24D569FD"/>
    <w:rsid w:val="24DC6388"/>
    <w:rsid w:val="24E56C98"/>
    <w:rsid w:val="25222749"/>
    <w:rsid w:val="25452535"/>
    <w:rsid w:val="254D53C2"/>
    <w:rsid w:val="256107E0"/>
    <w:rsid w:val="25626261"/>
    <w:rsid w:val="25695BEC"/>
    <w:rsid w:val="25805811"/>
    <w:rsid w:val="26D96935"/>
    <w:rsid w:val="26E9602E"/>
    <w:rsid w:val="2700535B"/>
    <w:rsid w:val="277B2154"/>
    <w:rsid w:val="27870594"/>
    <w:rsid w:val="27B35B31"/>
    <w:rsid w:val="281C3EDC"/>
    <w:rsid w:val="28243194"/>
    <w:rsid w:val="289B002D"/>
    <w:rsid w:val="28AE124C"/>
    <w:rsid w:val="28C81DF6"/>
    <w:rsid w:val="28D35905"/>
    <w:rsid w:val="293549A8"/>
    <w:rsid w:val="29610CF0"/>
    <w:rsid w:val="29D56AB0"/>
    <w:rsid w:val="2A115210"/>
    <w:rsid w:val="2A1E1692"/>
    <w:rsid w:val="2A9113E2"/>
    <w:rsid w:val="2AE23224"/>
    <w:rsid w:val="2B241C55"/>
    <w:rsid w:val="2B563729"/>
    <w:rsid w:val="2BB11538"/>
    <w:rsid w:val="2BB205C0"/>
    <w:rsid w:val="2BC337AA"/>
    <w:rsid w:val="2BFA09B4"/>
    <w:rsid w:val="2C0D706D"/>
    <w:rsid w:val="2C680FE8"/>
    <w:rsid w:val="2CA37B48"/>
    <w:rsid w:val="2CB31F60"/>
    <w:rsid w:val="2CD5161C"/>
    <w:rsid w:val="2D105F7D"/>
    <w:rsid w:val="2D1D3AD0"/>
    <w:rsid w:val="2DF8728A"/>
    <w:rsid w:val="2E081AA5"/>
    <w:rsid w:val="2E104665"/>
    <w:rsid w:val="2E1113A3"/>
    <w:rsid w:val="2E16582B"/>
    <w:rsid w:val="2EC92D50"/>
    <w:rsid w:val="2F0364F9"/>
    <w:rsid w:val="2F0B64E5"/>
    <w:rsid w:val="2F1B72D7"/>
    <w:rsid w:val="2F257BE7"/>
    <w:rsid w:val="2F681955"/>
    <w:rsid w:val="2FD108A3"/>
    <w:rsid w:val="30002DCD"/>
    <w:rsid w:val="30224607"/>
    <w:rsid w:val="306B5D00"/>
    <w:rsid w:val="3094583F"/>
    <w:rsid w:val="30A12956"/>
    <w:rsid w:val="30D653AF"/>
    <w:rsid w:val="312241A9"/>
    <w:rsid w:val="3152277A"/>
    <w:rsid w:val="31586882"/>
    <w:rsid w:val="315A3BA8"/>
    <w:rsid w:val="31602976"/>
    <w:rsid w:val="31F5295E"/>
    <w:rsid w:val="31FD4E11"/>
    <w:rsid w:val="320F63B0"/>
    <w:rsid w:val="321A21C3"/>
    <w:rsid w:val="328E0E7D"/>
    <w:rsid w:val="32A75A6C"/>
    <w:rsid w:val="32CF5169"/>
    <w:rsid w:val="32D64F29"/>
    <w:rsid w:val="32DF3206"/>
    <w:rsid w:val="334F6D3D"/>
    <w:rsid w:val="33904A71"/>
    <w:rsid w:val="33AF47D8"/>
    <w:rsid w:val="33DA3981"/>
    <w:rsid w:val="34126A7A"/>
    <w:rsid w:val="34141F7E"/>
    <w:rsid w:val="342F3E2C"/>
    <w:rsid w:val="346A4F0B"/>
    <w:rsid w:val="34BB3A10"/>
    <w:rsid w:val="34BF7E98"/>
    <w:rsid w:val="34C67823"/>
    <w:rsid w:val="35085D0E"/>
    <w:rsid w:val="353B2E4F"/>
    <w:rsid w:val="3543266F"/>
    <w:rsid w:val="360E4D79"/>
    <w:rsid w:val="3621205E"/>
    <w:rsid w:val="36595A3B"/>
    <w:rsid w:val="366A3757"/>
    <w:rsid w:val="370116CC"/>
    <w:rsid w:val="374F24BA"/>
    <w:rsid w:val="37904B05"/>
    <w:rsid w:val="37AD17E4"/>
    <w:rsid w:val="387542CE"/>
    <w:rsid w:val="38A4378D"/>
    <w:rsid w:val="39196DFB"/>
    <w:rsid w:val="397F4F63"/>
    <w:rsid w:val="399A256E"/>
    <w:rsid w:val="39B0161C"/>
    <w:rsid w:val="39BB3AC3"/>
    <w:rsid w:val="39F60425"/>
    <w:rsid w:val="3A0E5ACB"/>
    <w:rsid w:val="3A100FCE"/>
    <w:rsid w:val="3A1F37E7"/>
    <w:rsid w:val="3A740CF3"/>
    <w:rsid w:val="3AC342F5"/>
    <w:rsid w:val="3ADC741E"/>
    <w:rsid w:val="3B34664C"/>
    <w:rsid w:val="3B3E74C2"/>
    <w:rsid w:val="3B8159AD"/>
    <w:rsid w:val="3BCF572C"/>
    <w:rsid w:val="3BF746F2"/>
    <w:rsid w:val="3C090244"/>
    <w:rsid w:val="3C5D1E98"/>
    <w:rsid w:val="3C7C120C"/>
    <w:rsid w:val="3CBB737C"/>
    <w:rsid w:val="3CCE77BA"/>
    <w:rsid w:val="3D3C1506"/>
    <w:rsid w:val="3D3F085B"/>
    <w:rsid w:val="3D3F248B"/>
    <w:rsid w:val="3D440B11"/>
    <w:rsid w:val="3D5F4F3E"/>
    <w:rsid w:val="3E201779"/>
    <w:rsid w:val="3E791654"/>
    <w:rsid w:val="3E856F1F"/>
    <w:rsid w:val="3E8D432B"/>
    <w:rsid w:val="3E99756F"/>
    <w:rsid w:val="3EDB1EAC"/>
    <w:rsid w:val="3F0355EF"/>
    <w:rsid w:val="3F677511"/>
    <w:rsid w:val="3F9B22EA"/>
    <w:rsid w:val="3FE63663"/>
    <w:rsid w:val="401A5062"/>
    <w:rsid w:val="40595BA0"/>
    <w:rsid w:val="40711049"/>
    <w:rsid w:val="40793ED7"/>
    <w:rsid w:val="409D1B0D"/>
    <w:rsid w:val="40AE1E5E"/>
    <w:rsid w:val="41022B36"/>
    <w:rsid w:val="41205969"/>
    <w:rsid w:val="41643AD4"/>
    <w:rsid w:val="42143C78"/>
    <w:rsid w:val="428761B5"/>
    <w:rsid w:val="42ED6177"/>
    <w:rsid w:val="4397329F"/>
    <w:rsid w:val="43C2499C"/>
    <w:rsid w:val="44007FA0"/>
    <w:rsid w:val="441F268B"/>
    <w:rsid w:val="445A6324"/>
    <w:rsid w:val="446866CB"/>
    <w:rsid w:val="446F0254"/>
    <w:rsid w:val="44BB4E50"/>
    <w:rsid w:val="44C7428C"/>
    <w:rsid w:val="44D559FA"/>
    <w:rsid w:val="44DA5705"/>
    <w:rsid w:val="44E71D19"/>
    <w:rsid w:val="4537221B"/>
    <w:rsid w:val="454D03C0"/>
    <w:rsid w:val="456A6DE5"/>
    <w:rsid w:val="45A3734C"/>
    <w:rsid w:val="45F22FEA"/>
    <w:rsid w:val="46B4650D"/>
    <w:rsid w:val="46B84C96"/>
    <w:rsid w:val="46CB5EB5"/>
    <w:rsid w:val="46DC3BD1"/>
    <w:rsid w:val="47183BA3"/>
    <w:rsid w:val="47357AE2"/>
    <w:rsid w:val="477F6C5D"/>
    <w:rsid w:val="47AB1DB3"/>
    <w:rsid w:val="47FC1AAA"/>
    <w:rsid w:val="48157C28"/>
    <w:rsid w:val="48530911"/>
    <w:rsid w:val="48734F6C"/>
    <w:rsid w:val="48E33346"/>
    <w:rsid w:val="492A4051"/>
    <w:rsid w:val="493375A8"/>
    <w:rsid w:val="494F3655"/>
    <w:rsid w:val="496F7269"/>
    <w:rsid w:val="49DF07A5"/>
    <w:rsid w:val="4A037E90"/>
    <w:rsid w:val="4A660C1F"/>
    <w:rsid w:val="4A861153"/>
    <w:rsid w:val="4A952667"/>
    <w:rsid w:val="4AB467A0"/>
    <w:rsid w:val="4B0B13AD"/>
    <w:rsid w:val="4B1E4B4A"/>
    <w:rsid w:val="4B334AEF"/>
    <w:rsid w:val="4BD80587"/>
    <w:rsid w:val="4C210830"/>
    <w:rsid w:val="4CE9093D"/>
    <w:rsid w:val="4D15198F"/>
    <w:rsid w:val="4D1C7E93"/>
    <w:rsid w:val="4DE43EC7"/>
    <w:rsid w:val="4E4E3A88"/>
    <w:rsid w:val="4E550E94"/>
    <w:rsid w:val="4E870559"/>
    <w:rsid w:val="4EDB32EC"/>
    <w:rsid w:val="4F447498"/>
    <w:rsid w:val="4FB2334F"/>
    <w:rsid w:val="4FBB582E"/>
    <w:rsid w:val="4FE0641D"/>
    <w:rsid w:val="4FE57021"/>
    <w:rsid w:val="50B22EF2"/>
    <w:rsid w:val="50C1350C"/>
    <w:rsid w:val="50EF1039"/>
    <w:rsid w:val="512A7435"/>
    <w:rsid w:val="51462315"/>
    <w:rsid w:val="519E7677"/>
    <w:rsid w:val="51E44568"/>
    <w:rsid w:val="5203739C"/>
    <w:rsid w:val="522265CC"/>
    <w:rsid w:val="52391A74"/>
    <w:rsid w:val="52534B21"/>
    <w:rsid w:val="52D0326C"/>
    <w:rsid w:val="52F1599F"/>
    <w:rsid w:val="530901CA"/>
    <w:rsid w:val="53124FDB"/>
    <w:rsid w:val="532066E3"/>
    <w:rsid w:val="538F7E27"/>
    <w:rsid w:val="539E4BBE"/>
    <w:rsid w:val="53E64FB3"/>
    <w:rsid w:val="54C3004D"/>
    <w:rsid w:val="54EE0459"/>
    <w:rsid w:val="551321A2"/>
    <w:rsid w:val="552846C5"/>
    <w:rsid w:val="557C08CC"/>
    <w:rsid w:val="55847F44"/>
    <w:rsid w:val="55BE45E8"/>
    <w:rsid w:val="55EC6E01"/>
    <w:rsid w:val="573A3263"/>
    <w:rsid w:val="57D76DD3"/>
    <w:rsid w:val="57DD2635"/>
    <w:rsid w:val="5843629D"/>
    <w:rsid w:val="58487AE6"/>
    <w:rsid w:val="58B27195"/>
    <w:rsid w:val="58EC6F6F"/>
    <w:rsid w:val="591271AE"/>
    <w:rsid w:val="592616D2"/>
    <w:rsid w:val="594F69AC"/>
    <w:rsid w:val="59570550"/>
    <w:rsid w:val="599D09D9"/>
    <w:rsid w:val="59A30C9C"/>
    <w:rsid w:val="59B065F5"/>
    <w:rsid w:val="59B92E3F"/>
    <w:rsid w:val="59C759D8"/>
    <w:rsid w:val="59D44CEE"/>
    <w:rsid w:val="59EB2715"/>
    <w:rsid w:val="5A031FBA"/>
    <w:rsid w:val="5A103AEB"/>
    <w:rsid w:val="5A4A272E"/>
    <w:rsid w:val="5A5C174F"/>
    <w:rsid w:val="5A835D8B"/>
    <w:rsid w:val="5AB865E5"/>
    <w:rsid w:val="5B10534B"/>
    <w:rsid w:val="5CAB2299"/>
    <w:rsid w:val="5D37407B"/>
    <w:rsid w:val="5D4D621E"/>
    <w:rsid w:val="5DA775E6"/>
    <w:rsid w:val="5E35651C"/>
    <w:rsid w:val="5F283710"/>
    <w:rsid w:val="5F8913CC"/>
    <w:rsid w:val="5F983BE5"/>
    <w:rsid w:val="5FCA17CA"/>
    <w:rsid w:val="60385CED"/>
    <w:rsid w:val="603F1DF4"/>
    <w:rsid w:val="604030F9"/>
    <w:rsid w:val="606D5C66"/>
    <w:rsid w:val="60845AF4"/>
    <w:rsid w:val="608A7C0B"/>
    <w:rsid w:val="60923DFD"/>
    <w:rsid w:val="611C17E3"/>
    <w:rsid w:val="61343606"/>
    <w:rsid w:val="61803A85"/>
    <w:rsid w:val="6185210C"/>
    <w:rsid w:val="61AD1FCB"/>
    <w:rsid w:val="61F749C9"/>
    <w:rsid w:val="624060C2"/>
    <w:rsid w:val="62695D45"/>
    <w:rsid w:val="627E0125"/>
    <w:rsid w:val="62F4249C"/>
    <w:rsid w:val="63145D8D"/>
    <w:rsid w:val="631F7CAE"/>
    <w:rsid w:val="63862AFC"/>
    <w:rsid w:val="63864990"/>
    <w:rsid w:val="642E206A"/>
    <w:rsid w:val="643A48C1"/>
    <w:rsid w:val="644A3F19"/>
    <w:rsid w:val="64523523"/>
    <w:rsid w:val="645E2BB9"/>
    <w:rsid w:val="64994A85"/>
    <w:rsid w:val="64CD2E6D"/>
    <w:rsid w:val="64DF660A"/>
    <w:rsid w:val="64F565B0"/>
    <w:rsid w:val="65071D4D"/>
    <w:rsid w:val="65146E65"/>
    <w:rsid w:val="653D2FCB"/>
    <w:rsid w:val="654D6C3E"/>
    <w:rsid w:val="65D71913"/>
    <w:rsid w:val="65E74C3F"/>
    <w:rsid w:val="65F903DC"/>
    <w:rsid w:val="660D37F9"/>
    <w:rsid w:val="661E2926"/>
    <w:rsid w:val="66246CA2"/>
    <w:rsid w:val="66297D17"/>
    <w:rsid w:val="66BA4C17"/>
    <w:rsid w:val="66CE499E"/>
    <w:rsid w:val="67077294"/>
    <w:rsid w:val="673F0D51"/>
    <w:rsid w:val="67726944"/>
    <w:rsid w:val="67F33A1A"/>
    <w:rsid w:val="680C3ED2"/>
    <w:rsid w:val="689F73B6"/>
    <w:rsid w:val="68DA411C"/>
    <w:rsid w:val="68FF1E1F"/>
    <w:rsid w:val="695D51EA"/>
    <w:rsid w:val="69617569"/>
    <w:rsid w:val="696638FC"/>
    <w:rsid w:val="698066A4"/>
    <w:rsid w:val="69C61397"/>
    <w:rsid w:val="69CD3385"/>
    <w:rsid w:val="6A154999"/>
    <w:rsid w:val="6A16241A"/>
    <w:rsid w:val="6A1A0E21"/>
    <w:rsid w:val="6A3D5784"/>
    <w:rsid w:val="6A7A797B"/>
    <w:rsid w:val="6AA64288"/>
    <w:rsid w:val="6ADF4062"/>
    <w:rsid w:val="6AF61160"/>
    <w:rsid w:val="6B5D0513"/>
    <w:rsid w:val="6C010CC1"/>
    <w:rsid w:val="6CFF5361"/>
    <w:rsid w:val="6D116900"/>
    <w:rsid w:val="6D4764E9"/>
    <w:rsid w:val="6D814635"/>
    <w:rsid w:val="6D8B2C1B"/>
    <w:rsid w:val="6E9A5102"/>
    <w:rsid w:val="6EAF50A7"/>
    <w:rsid w:val="6EF44517"/>
    <w:rsid w:val="6F5B773E"/>
    <w:rsid w:val="6F6325CC"/>
    <w:rsid w:val="6F792572"/>
    <w:rsid w:val="6F927898"/>
    <w:rsid w:val="6F976384"/>
    <w:rsid w:val="6FD23F05"/>
    <w:rsid w:val="701139EA"/>
    <w:rsid w:val="70442F3F"/>
    <w:rsid w:val="707321AF"/>
    <w:rsid w:val="7088492D"/>
    <w:rsid w:val="708E6837"/>
    <w:rsid w:val="709712B2"/>
    <w:rsid w:val="70F76266"/>
    <w:rsid w:val="71423D5C"/>
    <w:rsid w:val="71787AB9"/>
    <w:rsid w:val="7183273A"/>
    <w:rsid w:val="71C468B3"/>
    <w:rsid w:val="71EB4575"/>
    <w:rsid w:val="72773104"/>
    <w:rsid w:val="727F6FE6"/>
    <w:rsid w:val="729012FE"/>
    <w:rsid w:val="72AC4633"/>
    <w:rsid w:val="72F23AA2"/>
    <w:rsid w:val="737D7821"/>
    <w:rsid w:val="738B621F"/>
    <w:rsid w:val="73EF3D7E"/>
    <w:rsid w:val="7426061C"/>
    <w:rsid w:val="742D7FA7"/>
    <w:rsid w:val="74592FD6"/>
    <w:rsid w:val="7475039B"/>
    <w:rsid w:val="74A2126A"/>
    <w:rsid w:val="74A6044E"/>
    <w:rsid w:val="74CB6BAB"/>
    <w:rsid w:val="750D091A"/>
    <w:rsid w:val="757F4F5A"/>
    <w:rsid w:val="75A63F90"/>
    <w:rsid w:val="75BA64B4"/>
    <w:rsid w:val="75DF16D2"/>
    <w:rsid w:val="761D4690"/>
    <w:rsid w:val="761F61D8"/>
    <w:rsid w:val="76392605"/>
    <w:rsid w:val="76517CAC"/>
    <w:rsid w:val="765A1642"/>
    <w:rsid w:val="767510AC"/>
    <w:rsid w:val="76D03230"/>
    <w:rsid w:val="76D26EF8"/>
    <w:rsid w:val="76E836A3"/>
    <w:rsid w:val="76F64D5D"/>
    <w:rsid w:val="770B4B5C"/>
    <w:rsid w:val="771C036B"/>
    <w:rsid w:val="776C37AC"/>
    <w:rsid w:val="77C41A17"/>
    <w:rsid w:val="7811440A"/>
    <w:rsid w:val="78807F41"/>
    <w:rsid w:val="78AA3303"/>
    <w:rsid w:val="78D541C2"/>
    <w:rsid w:val="79113FAC"/>
    <w:rsid w:val="797B4538"/>
    <w:rsid w:val="79881F19"/>
    <w:rsid w:val="79E03380"/>
    <w:rsid w:val="79EF3312"/>
    <w:rsid w:val="7A302EB6"/>
    <w:rsid w:val="7A492DB0"/>
    <w:rsid w:val="7A5D3F81"/>
    <w:rsid w:val="7AC5017B"/>
    <w:rsid w:val="7ADE32A3"/>
    <w:rsid w:val="7B0B2E6E"/>
    <w:rsid w:val="7B0C506C"/>
    <w:rsid w:val="7B5B3EF1"/>
    <w:rsid w:val="7B5D1100"/>
    <w:rsid w:val="7B5E4E76"/>
    <w:rsid w:val="7B700614"/>
    <w:rsid w:val="7BCF6F65"/>
    <w:rsid w:val="7BDF66C9"/>
    <w:rsid w:val="7BFC6FFA"/>
    <w:rsid w:val="7C5640E2"/>
    <w:rsid w:val="7D630A43"/>
    <w:rsid w:val="7DC00DDD"/>
    <w:rsid w:val="7DD409E2"/>
    <w:rsid w:val="7E256583"/>
    <w:rsid w:val="7E4A4FDC"/>
    <w:rsid w:val="7EB625EF"/>
    <w:rsid w:val="7EE9286B"/>
    <w:rsid w:val="7EF66C5B"/>
    <w:rsid w:val="7F0B7AFA"/>
    <w:rsid w:val="7F9D7069"/>
    <w:rsid w:val="7FBD539F"/>
    <w:rsid w:val="7FD75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等线" w:cs="Times New Roman"/>
      <w:kern w:val="0"/>
      <w:sz w:val="24"/>
      <w:szCs w:val="24"/>
      <w:lang w:val="en-US" w:eastAsia="zh-CN" w:bidi="ar-SA"/>
    </w:rPr>
  </w:style>
  <w:style w:type="paragraph" w:styleId="3">
    <w:name w:val="heading 1"/>
    <w:basedOn w:val="1"/>
    <w:next w:val="1"/>
    <w:link w:val="17"/>
    <w:qFormat/>
    <w:uiPriority w:val="9"/>
    <w:pPr>
      <w:spacing w:before="100" w:beforeAutospacing="1" w:after="100" w:afterAutospacing="1"/>
      <w:outlineLvl w:val="0"/>
    </w:pPr>
    <w:rPr>
      <w:b/>
      <w:bCs/>
      <w:kern w:val="36"/>
      <w:sz w:val="48"/>
      <w:szCs w:val="48"/>
    </w:rPr>
  </w:style>
  <w:style w:type="character" w:default="1" w:styleId="12">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uppressAutoHyphens/>
      <w:spacing w:before="0" w:after="140" w:line="276" w:lineRule="auto"/>
    </w:pPr>
  </w:style>
  <w:style w:type="paragraph" w:styleId="4">
    <w:name w:val="Document Map"/>
    <w:basedOn w:val="1"/>
    <w:link w:val="24"/>
    <w:qFormat/>
    <w:uiPriority w:val="99"/>
  </w:style>
  <w:style w:type="paragraph" w:styleId="5">
    <w:name w:val="annotation text"/>
    <w:basedOn w:val="1"/>
    <w:link w:val="26"/>
    <w:qFormat/>
    <w:uiPriority w:val="99"/>
  </w:style>
  <w:style w:type="paragraph" w:styleId="6">
    <w:name w:val="Balloon Text"/>
    <w:basedOn w:val="1"/>
    <w:link w:val="18"/>
    <w:qFormat/>
    <w:uiPriority w:val="99"/>
    <w:pPr>
      <w:widowControl w:val="0"/>
      <w:jc w:val="both"/>
    </w:pPr>
    <w:rPr>
      <w:rFonts w:ascii="宋体" w:hAnsi="等线" w:eastAsia="宋体" w:cs="宋体"/>
      <w:kern w:val="2"/>
      <w:sz w:val="18"/>
      <w:szCs w:val="18"/>
    </w:rPr>
  </w:style>
  <w:style w:type="paragraph" w:styleId="7">
    <w:name w:val="footer"/>
    <w:basedOn w:val="1"/>
    <w:link w:val="20"/>
    <w:qFormat/>
    <w:uiPriority w:val="99"/>
    <w:pPr>
      <w:widowControl w:val="0"/>
      <w:tabs>
        <w:tab w:val="center" w:pos="4153"/>
        <w:tab w:val="right" w:pos="8306"/>
      </w:tabs>
      <w:snapToGrid w:val="0"/>
    </w:pPr>
    <w:rPr>
      <w:rFonts w:ascii="等线" w:hAnsi="等线" w:cs="宋体"/>
      <w:kern w:val="2"/>
      <w:sz w:val="18"/>
      <w:szCs w:val="18"/>
    </w:rPr>
  </w:style>
  <w:style w:type="paragraph" w:styleId="8">
    <w:name w:val="header"/>
    <w:basedOn w:val="1"/>
    <w:link w:val="19"/>
    <w:qFormat/>
    <w:uiPriority w:val="99"/>
    <w:pPr>
      <w:widowControl w:val="0"/>
      <w:pBdr>
        <w:bottom w:val="single" w:color="auto" w:sz="6" w:space="1"/>
      </w:pBdr>
      <w:tabs>
        <w:tab w:val="center" w:pos="4153"/>
        <w:tab w:val="right" w:pos="8306"/>
      </w:tabs>
      <w:snapToGrid w:val="0"/>
      <w:jc w:val="center"/>
    </w:pPr>
    <w:rPr>
      <w:rFonts w:ascii="等线" w:hAnsi="等线" w:cs="宋体"/>
      <w:kern w:val="2"/>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5"/>
    <w:next w:val="5"/>
    <w:link w:val="27"/>
    <w:qFormat/>
    <w:uiPriority w:val="99"/>
    <w:rPr>
      <w:b/>
      <w:bCs/>
    </w:rPr>
  </w:style>
  <w:style w:type="character" w:styleId="13">
    <w:name w:val="Strong"/>
    <w:basedOn w:val="12"/>
    <w:qFormat/>
    <w:uiPriority w:val="0"/>
    <w:rPr>
      <w:b/>
    </w:rPr>
  </w:style>
  <w:style w:type="character" w:styleId="14">
    <w:name w:val="FollowedHyperlink"/>
    <w:basedOn w:val="12"/>
    <w:qFormat/>
    <w:uiPriority w:val="99"/>
    <w:rPr>
      <w:color w:val="954F72"/>
      <w:u w:val="single"/>
    </w:rPr>
  </w:style>
  <w:style w:type="character" w:styleId="15">
    <w:name w:val="Hyperlink"/>
    <w:basedOn w:val="12"/>
    <w:qFormat/>
    <w:uiPriority w:val="99"/>
    <w:rPr>
      <w:color w:val="0563C1"/>
      <w:u w:val="single"/>
    </w:rPr>
  </w:style>
  <w:style w:type="character" w:styleId="16">
    <w:name w:val="annotation reference"/>
    <w:basedOn w:val="12"/>
    <w:qFormat/>
    <w:uiPriority w:val="99"/>
    <w:rPr>
      <w:sz w:val="21"/>
      <w:szCs w:val="21"/>
    </w:rPr>
  </w:style>
  <w:style w:type="character" w:customStyle="1" w:styleId="17">
    <w:name w:val="标题 1 Char"/>
    <w:basedOn w:val="12"/>
    <w:link w:val="3"/>
    <w:qFormat/>
    <w:uiPriority w:val="9"/>
    <w:rPr>
      <w:rFonts w:ascii="Times New Roman" w:hAnsi="Times New Roman" w:cs="Times New Roman"/>
      <w:b/>
      <w:bCs/>
      <w:kern w:val="36"/>
      <w:sz w:val="48"/>
      <w:szCs w:val="48"/>
    </w:rPr>
  </w:style>
  <w:style w:type="character" w:customStyle="1" w:styleId="18">
    <w:name w:val="批注框文本 Char"/>
    <w:basedOn w:val="12"/>
    <w:link w:val="6"/>
    <w:qFormat/>
    <w:uiPriority w:val="99"/>
    <w:rPr>
      <w:rFonts w:ascii="宋体" w:eastAsia="宋体"/>
      <w:sz w:val="18"/>
      <w:szCs w:val="18"/>
    </w:rPr>
  </w:style>
  <w:style w:type="character" w:customStyle="1" w:styleId="19">
    <w:name w:val="页眉 Char"/>
    <w:basedOn w:val="12"/>
    <w:link w:val="8"/>
    <w:qFormat/>
    <w:uiPriority w:val="99"/>
    <w:rPr>
      <w:sz w:val="18"/>
      <w:szCs w:val="18"/>
    </w:rPr>
  </w:style>
  <w:style w:type="character" w:customStyle="1" w:styleId="20">
    <w:name w:val="页脚 Char"/>
    <w:basedOn w:val="12"/>
    <w:link w:val="7"/>
    <w:qFormat/>
    <w:uiPriority w:val="99"/>
    <w:rPr>
      <w:sz w:val="18"/>
      <w:szCs w:val="18"/>
    </w:rPr>
  </w:style>
  <w:style w:type="paragraph" w:customStyle="1" w:styleId="21">
    <w:name w:val="List Paragraph_f828b095-8f07-483d-8148-bcdc166e7250"/>
    <w:basedOn w:val="1"/>
    <w:qFormat/>
    <w:uiPriority w:val="34"/>
    <w:pPr>
      <w:widowControl w:val="0"/>
      <w:ind w:firstLine="420" w:firstLineChars="200"/>
      <w:jc w:val="both"/>
    </w:pPr>
    <w:rPr>
      <w:rFonts w:ascii="等线" w:hAnsi="等线" w:cs="宋体"/>
      <w:kern w:val="2"/>
    </w:rPr>
  </w:style>
  <w:style w:type="paragraph" w:customStyle="1" w:styleId="22">
    <w:name w:val="No Spacing_2338e22e-7f3b-40b1-af39-f4f1544ec724"/>
    <w:qFormat/>
    <w:uiPriority w:val="1"/>
    <w:pPr>
      <w:widowControl w:val="0"/>
      <w:jc w:val="both"/>
    </w:pPr>
    <w:rPr>
      <w:rFonts w:ascii="等线" w:hAnsi="等线" w:eastAsia="等线" w:cs="宋体"/>
      <w:kern w:val="2"/>
      <w:sz w:val="24"/>
      <w:szCs w:val="24"/>
      <w:lang w:val="en-US" w:eastAsia="zh-CN" w:bidi="ar-SA"/>
    </w:rPr>
  </w:style>
  <w:style w:type="character" w:customStyle="1" w:styleId="23">
    <w:name w:val="apple-converted-space"/>
    <w:basedOn w:val="12"/>
    <w:qFormat/>
    <w:uiPriority w:val="0"/>
  </w:style>
  <w:style w:type="character" w:customStyle="1" w:styleId="24">
    <w:name w:val="文档结构图 Char"/>
    <w:basedOn w:val="12"/>
    <w:link w:val="4"/>
    <w:qFormat/>
    <w:uiPriority w:val="99"/>
    <w:rPr>
      <w:rFonts w:ascii="Times New Roman" w:hAnsi="Times New Roman" w:cs="Times New Roman"/>
      <w:kern w:val="0"/>
    </w:rPr>
  </w:style>
  <w:style w:type="paragraph" w:customStyle="1" w:styleId="25">
    <w:name w:val="Revision_40cd9b13-d56f-4839-95eb-7b9e470acc51"/>
    <w:qFormat/>
    <w:uiPriority w:val="99"/>
    <w:rPr>
      <w:rFonts w:ascii="Times New Roman" w:hAnsi="Times New Roman" w:eastAsia="等线" w:cs="Times New Roman"/>
      <w:kern w:val="0"/>
      <w:sz w:val="24"/>
      <w:szCs w:val="24"/>
      <w:lang w:val="en-US" w:eastAsia="zh-CN" w:bidi="ar-SA"/>
    </w:rPr>
  </w:style>
  <w:style w:type="character" w:customStyle="1" w:styleId="26">
    <w:name w:val="批注文字 Char"/>
    <w:basedOn w:val="12"/>
    <w:link w:val="5"/>
    <w:qFormat/>
    <w:uiPriority w:val="99"/>
    <w:rPr>
      <w:rFonts w:ascii="Times New Roman" w:hAnsi="Times New Roman" w:cs="Times New Roman"/>
      <w:kern w:val="0"/>
    </w:rPr>
  </w:style>
  <w:style w:type="character" w:customStyle="1" w:styleId="27">
    <w:name w:val="批注主题 Char"/>
    <w:basedOn w:val="26"/>
    <w:link w:val="10"/>
    <w:qFormat/>
    <w:uiPriority w:val="99"/>
    <w:rPr>
      <w:rFonts w:ascii="Times New Roman" w:hAnsi="Times New Roman" w:cs="Times New Roman"/>
      <w:b/>
      <w:bCs/>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2CE01-155E-4EF9-9BBD-1BFE9EC6460C}">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20</Pages>
  <Words>7652</Words>
  <Characters>7777</Characters>
  <Paragraphs>726</Paragraphs>
  <TotalTime>32</TotalTime>
  <ScaleCrop>false</ScaleCrop>
  <LinksUpToDate>false</LinksUpToDate>
  <CharactersWithSpaces>7818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2019-08-30T03:51:00Z</dcterms:created>
  <dc:creator>Microsoft Office 用户</dc:creator>
  <cp:lastModifiedBy>gdmpa</cp:lastModifiedBy>
  <cp:lastPrinted>2025-04-23T02:36:00Z</cp:lastPrinted>
  <dcterms:modified xsi:type="dcterms:W3CDTF">2025-04-24T06:50:56Z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87F3419E9C1D4B5D9394FD1B42422284_13</vt:lpwstr>
  </property>
  <property fmtid="{D5CDD505-2E9C-101B-9397-08002B2CF9AE}" pid="4" name="KSOTemplateDocerSaveRecord">
    <vt:lpwstr>eyJoZGlkIjoiM2UyOTliMDNhYTY3M2NmZmI4YzM5N2ZiZmI3MWUwM2IiLCJ1c2VySWQiOiIyODQyOTI5NyJ9</vt:lpwstr>
  </property>
</Properties>
</file>