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4DE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2C0F93C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非处方药说明书范本</w:t>
      </w:r>
    </w:p>
    <w:p w14:paraId="5586A8DF"/>
    <w:p w14:paraId="40AE14FE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hint="eastAsia" w:ascii="宋体" w:hAnsi="宋体" w:cs="宋体"/>
          <w:b/>
          <w:sz w:val="30"/>
          <w:szCs w:val="20"/>
        </w:rPr>
        <w:t>小儿感冒宁颗粒说明书</w:t>
      </w:r>
    </w:p>
    <w:p w14:paraId="5E305B1C">
      <w:pPr>
        <w:spacing w:line="300" w:lineRule="exac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</w:rPr>
        <w:t>请仔细阅读说明书并按说明使用或在药师指导下购买和使用</w:t>
      </w:r>
    </w:p>
    <w:p w14:paraId="62A31679">
      <w:pPr>
        <w:spacing w:line="300" w:lineRule="exact"/>
        <w:rPr>
          <w:rFonts w:ascii="Times New Roman" w:hAnsi="Times New Roman"/>
          <w:sz w:val="28"/>
          <w:szCs w:val="28"/>
        </w:rPr>
      </w:pPr>
    </w:p>
    <w:p w14:paraId="4773A1F2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14:paraId="7526B0B3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通用名称：小儿感冒宁颗粒</w:t>
      </w:r>
    </w:p>
    <w:p w14:paraId="7B7079CB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14:paraId="443E2539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14:paraId="7E13CD67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14:paraId="0E9EB876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疏散风热，清热止咳。用于春、秋、冬季小儿感冒发烧，汗出不爽，鼻塞流涕，咳嗽咽痛。</w:t>
      </w:r>
      <w:r>
        <w:rPr>
          <w:szCs w:val="21"/>
        </w:rPr>
        <w:t xml:space="preserve"> </w:t>
      </w:r>
    </w:p>
    <w:p w14:paraId="5ED173C0">
      <w:pPr>
        <w:spacing w:line="280" w:lineRule="exact"/>
        <w:rPr>
          <w:rFonts w:eastAsia="等线"/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每袋装</w:t>
      </w:r>
      <w:r>
        <w:rPr>
          <w:szCs w:val="21"/>
        </w:rPr>
        <w:t>2.5</w:t>
      </w:r>
      <w:r>
        <w:rPr>
          <w:rFonts w:hint="eastAsia"/>
          <w:szCs w:val="21"/>
        </w:rPr>
        <w:t>克</w:t>
      </w:r>
    </w:p>
    <w:p w14:paraId="4BBE004B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开水冲服。初生儿～一岁，一次</w:t>
      </w:r>
      <w:r>
        <w:rPr>
          <w:szCs w:val="21"/>
        </w:rPr>
        <w:t>1</w:t>
      </w:r>
      <w:r>
        <w:rPr>
          <w:rFonts w:hint="eastAsia"/>
          <w:szCs w:val="21"/>
        </w:rPr>
        <w:t>袋；二～三岁，一次</w:t>
      </w:r>
      <w:r>
        <w:rPr>
          <w:szCs w:val="21"/>
        </w:rPr>
        <w:t>1</w:t>
      </w:r>
      <w:r>
        <w:rPr>
          <w:rFonts w:hint="eastAsia"/>
          <w:szCs w:val="21"/>
        </w:rPr>
        <w:t>～</w:t>
      </w:r>
      <w:r>
        <w:rPr>
          <w:szCs w:val="21"/>
        </w:rPr>
        <w:t>2</w:t>
      </w:r>
      <w:r>
        <w:rPr>
          <w:rFonts w:hint="eastAsia"/>
          <w:szCs w:val="21"/>
        </w:rPr>
        <w:t>袋；四～六岁，一次</w:t>
      </w:r>
      <w:r>
        <w:rPr>
          <w:szCs w:val="21"/>
        </w:rPr>
        <w:t>2</w:t>
      </w:r>
      <w:r>
        <w:rPr>
          <w:rFonts w:hint="eastAsia"/>
          <w:szCs w:val="21"/>
        </w:rPr>
        <w:t>～</w:t>
      </w:r>
      <w:r>
        <w:rPr>
          <w:szCs w:val="21"/>
        </w:rPr>
        <w:t>3</w:t>
      </w:r>
      <w:r>
        <w:rPr>
          <w:rFonts w:hint="eastAsia"/>
          <w:szCs w:val="21"/>
        </w:rPr>
        <w:t>袋；七～十二岁，一次</w:t>
      </w:r>
      <w:r>
        <w:rPr>
          <w:szCs w:val="21"/>
        </w:rPr>
        <w:t>3</w:t>
      </w:r>
      <w:r>
        <w:rPr>
          <w:rFonts w:hint="eastAsia"/>
          <w:szCs w:val="21"/>
        </w:rPr>
        <w:t>～</w:t>
      </w:r>
      <w:r>
        <w:rPr>
          <w:szCs w:val="21"/>
        </w:rPr>
        <w:t>4</w:t>
      </w:r>
      <w:r>
        <w:rPr>
          <w:rFonts w:hint="eastAsia"/>
          <w:szCs w:val="21"/>
        </w:rPr>
        <w:t>袋；一日</w:t>
      </w:r>
      <w:r>
        <w:rPr>
          <w:szCs w:val="21"/>
        </w:rPr>
        <w:t>3</w:t>
      </w:r>
      <w:r>
        <w:rPr>
          <w:rFonts w:hint="eastAsia"/>
          <w:szCs w:val="21"/>
        </w:rPr>
        <w:t>～</w:t>
      </w:r>
      <w:r>
        <w:rPr>
          <w:szCs w:val="21"/>
        </w:rPr>
        <w:t>4</w:t>
      </w:r>
      <w:r>
        <w:rPr>
          <w:rFonts w:hint="eastAsia"/>
          <w:szCs w:val="21"/>
        </w:rPr>
        <w:t>次，或遵医嘱。</w:t>
      </w:r>
    </w:p>
    <w:p w14:paraId="269BD3F9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监测数据显示，本品可见以下不良反应报告：呕吐、腹泻、腹痛、皮疹、瘙痒等。</w:t>
      </w:r>
    </w:p>
    <w:p w14:paraId="7427E0FB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14:paraId="38E3BFD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风寒感冒者禁用，表现为恶寒发热，无汗、咽痒咳嗽，咽不红肿。</w:t>
      </w:r>
    </w:p>
    <w:p w14:paraId="239EAC8D">
      <w:pPr>
        <w:spacing w:line="0" w:lineRule="atLeast"/>
        <w:rPr>
          <w:b/>
          <w:szCs w:val="24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对本品及所含成份过敏者禁用。</w:t>
      </w:r>
    </w:p>
    <w:p w14:paraId="18A49C65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14:paraId="33C68ED9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忌食辛辣生冷油腻食物。</w:t>
      </w:r>
    </w:p>
    <w:p w14:paraId="09062BC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脾胃虚弱，大便稀溏者慎用。</w:t>
      </w:r>
    </w:p>
    <w:p w14:paraId="03C90C4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按照用法用量服用，本品不宜长期服用。</w:t>
      </w:r>
    </w:p>
    <w:p w14:paraId="7EB51C86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本品含蔗糖，糖尿病患者应</w:t>
      </w:r>
      <w:r>
        <w:rPr>
          <w:rFonts w:hint="eastAsia" w:eastAsia="宋体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14:paraId="43DDE02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发热体温超过</w:t>
      </w:r>
      <w:r>
        <w:rPr>
          <w:b/>
          <w:bCs/>
          <w:szCs w:val="21"/>
        </w:rPr>
        <w:t>38.5</w:t>
      </w:r>
      <w:r>
        <w:rPr>
          <w:rFonts w:hint="eastAsia"/>
          <w:b/>
          <w:bCs/>
          <w:szCs w:val="21"/>
        </w:rPr>
        <w:t>℃的患者，应</w:t>
      </w:r>
      <w:r>
        <w:rPr>
          <w:rFonts w:hint="eastAsia" w:eastAsia="宋体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14:paraId="58450B1D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天症状无缓解，或</w:t>
      </w:r>
      <w:r>
        <w:rPr>
          <w:rFonts w:hint="eastAsia" w:eastAsia="宋体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服药期间症状加重，或</w:t>
      </w:r>
      <w:r>
        <w:rPr>
          <w:rFonts w:hint="eastAsia" w:eastAsia="宋体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出现新的严重症状者，应</w:t>
      </w:r>
      <w:r>
        <w:rPr>
          <w:rFonts w:hint="eastAsia" w:eastAsia="宋体"/>
          <w:b/>
          <w:bCs/>
          <w:szCs w:val="21"/>
          <w:lang w:eastAsia="zh-CN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14:paraId="582F2DD4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过敏体质者慎用。</w:t>
      </w:r>
    </w:p>
    <w:p w14:paraId="3991D2D8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本品性状发生改变时禁止使用。</w:t>
      </w:r>
    </w:p>
    <w:p w14:paraId="53B848D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儿童必须在成人监护下使用。</w:t>
      </w:r>
    </w:p>
    <w:p w14:paraId="45EF831B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请将本品放在儿童不能接触的地方。</w:t>
      </w:r>
    </w:p>
    <w:p w14:paraId="1AC69C9F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如正在使用其他药品，使用本品前请咨询医师或</w:t>
      </w:r>
      <w:r>
        <w:rPr>
          <w:rFonts w:hint="eastAsia" w:eastAsia="宋体"/>
          <w:b/>
          <w:bCs/>
          <w:szCs w:val="21"/>
          <w:lang w:eastAsia="zh-CN"/>
        </w:rPr>
        <w:t>者</w:t>
      </w:r>
      <w:r>
        <w:rPr>
          <w:rFonts w:hint="eastAsia"/>
          <w:b/>
          <w:bCs/>
          <w:szCs w:val="21"/>
        </w:rPr>
        <w:t>药师。</w:t>
      </w:r>
    </w:p>
    <w:p w14:paraId="2A20C789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</w:t>
      </w:r>
      <w:r>
        <w:rPr>
          <w:rFonts w:hint="eastAsia" w:eastAsia="宋体"/>
          <w:szCs w:val="21"/>
          <w:lang w:eastAsia="zh-CN"/>
        </w:rPr>
        <w:t>者</w:t>
      </w:r>
      <w:r>
        <w:rPr>
          <w:rFonts w:hint="eastAsia"/>
          <w:szCs w:val="21"/>
        </w:rPr>
        <w:t>药师。</w:t>
      </w:r>
    </w:p>
    <w:p w14:paraId="4B333D66">
      <w:pPr>
        <w:rPr>
          <w:szCs w:val="24"/>
        </w:rPr>
      </w:pPr>
      <w:r>
        <w:t>[</w:t>
      </w:r>
      <w:r>
        <w:rPr>
          <w:rFonts w:hint="eastAsia"/>
        </w:rPr>
        <w:t>贮藏</w:t>
      </w:r>
      <w:r>
        <w:t xml:space="preserve">] </w:t>
      </w:r>
      <w:r>
        <w:br w:type="textWrapping"/>
      </w:r>
      <w:r>
        <w:t>[</w:t>
      </w:r>
      <w:r>
        <w:rPr>
          <w:rFonts w:hint="eastAsia"/>
        </w:rPr>
        <w:t>包装</w:t>
      </w:r>
      <w:r>
        <w:t>]</w:t>
      </w:r>
      <w:r>
        <w:br w:type="textWrapping"/>
      </w:r>
      <w:r>
        <w:t>[</w:t>
      </w:r>
      <w:r>
        <w:rPr>
          <w:rFonts w:hint="eastAsia"/>
        </w:rPr>
        <w:t>有效期</w:t>
      </w:r>
      <w:r>
        <w:t>]</w:t>
      </w:r>
      <w:r>
        <w:br w:type="textWrapping"/>
      </w:r>
      <w:r>
        <w:t>[</w:t>
      </w:r>
      <w:r>
        <w:rPr>
          <w:rFonts w:hint="eastAsia"/>
        </w:rPr>
        <w:t>执行标准</w:t>
      </w:r>
      <w:r>
        <w:t>]</w:t>
      </w:r>
      <w:r>
        <w:br w:type="textWrapping"/>
      </w:r>
      <w:r>
        <w:t>[</w:t>
      </w:r>
      <w:r>
        <w:rPr>
          <w:rFonts w:hint="eastAsia"/>
        </w:rPr>
        <w:t>批准文号</w:t>
      </w:r>
      <w:r>
        <w:t>]</w:t>
      </w:r>
      <w:r>
        <w:br w:type="textWrapping"/>
      </w:r>
      <w:r>
        <w:t>[</w:t>
      </w:r>
      <w:r>
        <w:rPr>
          <w:rFonts w:hint="eastAsia"/>
        </w:rPr>
        <w:t>说明书修订日期</w:t>
      </w:r>
      <w:r>
        <w:t>]</w:t>
      </w:r>
      <w:r>
        <w:br w:type="textWrapping"/>
      </w:r>
      <w:r>
        <w:t>[</w:t>
      </w:r>
      <w:r>
        <w:rPr>
          <w:rFonts w:hint="eastAsia"/>
        </w:rPr>
        <w:t>药品上市许可持有人</w:t>
      </w:r>
      <w:r>
        <w:t>]</w:t>
      </w:r>
    </w:p>
    <w:p w14:paraId="59221B35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 w:type="textWrapping"/>
      </w:r>
      <w:r>
        <w:rPr>
          <w:rFonts w:hint="eastAsia"/>
        </w:rPr>
        <w:t>注册地址：</w:t>
      </w:r>
      <w:r>
        <w:br w:type="textWrapping"/>
      </w:r>
      <w:r>
        <w:rPr>
          <w:rFonts w:hint="eastAsia"/>
        </w:rPr>
        <w:t>邮政编码：</w:t>
      </w:r>
      <w:r>
        <w:br w:type="textWrapping"/>
      </w:r>
      <w:r>
        <w:rPr>
          <w:rFonts w:hint="eastAsia"/>
        </w:rPr>
        <w:t>电话号码：</w:t>
      </w:r>
      <w:r>
        <w:br w:type="textWrapping"/>
      </w:r>
      <w:r>
        <w:rPr>
          <w:rFonts w:hint="eastAsia"/>
        </w:rPr>
        <w:t>传真号码：</w:t>
      </w:r>
      <w:r>
        <w:br w:type="textWrapping"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14:paraId="565C680D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 w:type="textWrapping"/>
      </w:r>
      <w:r>
        <w:rPr>
          <w:rFonts w:hint="eastAsia"/>
        </w:rPr>
        <w:t>企业名称：</w:t>
      </w:r>
      <w:r>
        <w:t xml:space="preserve"> </w:t>
      </w:r>
      <w:r>
        <w:br w:type="textWrapping"/>
      </w:r>
      <w:r>
        <w:rPr>
          <w:rFonts w:hint="eastAsia"/>
        </w:rPr>
        <w:t>生产地址：</w:t>
      </w:r>
      <w:r>
        <w:br w:type="textWrapping"/>
      </w:r>
      <w:r>
        <w:rPr>
          <w:rFonts w:hint="eastAsia"/>
          <w:b/>
          <w:bCs/>
        </w:rPr>
        <w:t>如有问题可与药品上市许可持有人联系</w:t>
      </w:r>
    </w:p>
    <w:p w14:paraId="78BC2B52">
      <w:pPr>
        <w:rPr>
          <w:b/>
          <w:bCs/>
        </w:rPr>
      </w:pPr>
    </w:p>
    <w:p w14:paraId="44CEAD40">
      <w:pPr>
        <w:spacing w:line="520" w:lineRule="exact"/>
        <w:ind w:firstLine="562" w:firstLineChars="200"/>
        <w:rPr>
          <w:rFonts w:ascii="楷体_GB2312" w:eastAsia="仿宋"/>
          <w:b/>
          <w:sz w:val="28"/>
          <w:szCs w:val="28"/>
        </w:rPr>
      </w:pPr>
    </w:p>
    <w:p w14:paraId="0704876B">
      <w:pPr>
        <w:ind w:left="290" w:leftChars="88" w:hanging="105" w:hangingChars="50"/>
        <w:rPr>
          <w:rFonts w:ascii="Times New Roman"/>
          <w:b/>
          <w:szCs w:val="21"/>
        </w:rPr>
      </w:pPr>
      <w:r>
        <w:rPr>
          <w:rFonts w:hint="eastAsia"/>
          <w:szCs w:val="21"/>
        </w:rPr>
        <w:t>（注：本说明书范本原则上不得删减，如原批准说明书的安全性内容较本范本内容更全面或</w:t>
      </w:r>
      <w:r>
        <w:rPr>
          <w:rFonts w:hint="eastAsia" w:eastAsia="宋体"/>
          <w:szCs w:val="21"/>
          <w:lang w:eastAsia="zh-CN"/>
        </w:rPr>
        <w:t>者</w:t>
      </w:r>
      <w:r>
        <w:rPr>
          <w:rFonts w:hint="eastAsia"/>
          <w:szCs w:val="21"/>
        </w:rPr>
        <w:t>更严格的，应</w:t>
      </w:r>
      <w:r>
        <w:rPr>
          <w:rFonts w:hint="eastAsia" w:eastAsia="宋体"/>
          <w:szCs w:val="21"/>
          <w:lang w:eastAsia="zh-CN"/>
        </w:rPr>
        <w:t>当</w:t>
      </w:r>
      <w:r>
        <w:rPr>
          <w:rFonts w:hint="eastAsia"/>
          <w:szCs w:val="21"/>
        </w:rPr>
        <w:t>保留原批准内容。）</w:t>
      </w:r>
      <w:r>
        <w:rPr>
          <w:szCs w:val="21"/>
        </w:rPr>
        <w:fldChar w:fldCharType="begin"/>
      </w:r>
      <w:r>
        <w:rPr>
          <w:szCs w:val="21"/>
        </w:rPr>
        <w:instrText xml:space="preserve">ADDIN CNKISM.UserStyle</w:instrText>
      </w:r>
      <w:r>
        <w:rPr>
          <w:szCs w:val="21"/>
        </w:rPr>
        <w:fldChar w:fldCharType="end"/>
      </w:r>
    </w:p>
    <w:p w14:paraId="0F66700D"/>
    <w:p w14:paraId="6114441F">
      <w:pPr>
        <w:keepNext w:val="0"/>
        <w:keepLines w:val="0"/>
        <w:spacing w:before="0" w:after="0" w:line="240" w:lineRule="auto"/>
        <w:jc w:val="center"/>
        <w:outlineLvl w:val="9"/>
        <w:rPr>
          <w:rFonts w:hint="eastAsia" w:ascii="宋体" w:hAnsi="宋体" w:cs="宋体"/>
          <w:b/>
          <w:color w:val="000000"/>
          <w:sz w:val="30"/>
          <w:szCs w:val="20"/>
        </w:rPr>
      </w:pPr>
      <w:r>
        <w:br w:type="page"/>
      </w:r>
    </w:p>
    <w:p w14:paraId="60DC83FE">
      <w:pPr>
        <w:keepNext w:val="0"/>
        <w:keepLines w:val="0"/>
        <w:spacing w:before="0" w:after="0" w:line="240" w:lineRule="auto"/>
        <w:jc w:val="center"/>
        <w:outlineLvl w:val="9"/>
        <w:rPr>
          <w:rFonts w:ascii="宋体" w:hAnsi="宋体" w:cs="宋体"/>
          <w:b/>
          <w:color w:val="000000"/>
          <w:sz w:val="30"/>
          <w:szCs w:val="20"/>
        </w:rPr>
      </w:pPr>
      <w:r>
        <w:rPr>
          <w:rFonts w:hint="eastAsia" w:ascii="宋体" w:hAnsi="宋体" w:cs="宋体"/>
          <w:b/>
          <w:color w:val="000000"/>
          <w:sz w:val="30"/>
          <w:szCs w:val="20"/>
        </w:rPr>
        <w:t>蒲公英颗粒说明书</w:t>
      </w:r>
    </w:p>
    <w:p w14:paraId="5B47857B">
      <w:pPr>
        <w:spacing w:line="300" w:lineRule="exact"/>
        <w:jc w:val="center"/>
        <w:rPr>
          <w:rFonts w:ascii="宋体" w:hAnsi="宋体"/>
          <w:b/>
          <w:color w:val="000000"/>
          <w:szCs w:val="24"/>
        </w:rPr>
      </w:pPr>
      <w:r>
        <w:rPr>
          <w:rFonts w:hint="eastAsia" w:ascii="宋体" w:hAnsi="宋体"/>
          <w:b/>
          <w:color w:val="000000"/>
        </w:rPr>
        <w:t>请仔细阅读说明书并按说明使用或在药师指导下购买和使用</w:t>
      </w:r>
    </w:p>
    <w:p w14:paraId="52128E13">
      <w:pPr>
        <w:spacing w:line="300" w:lineRule="exact"/>
        <w:jc w:val="center"/>
        <w:rPr>
          <w:rFonts w:ascii="宋体" w:hAnsi="宋体"/>
          <w:b/>
          <w:color w:val="000000"/>
        </w:rPr>
      </w:pPr>
    </w:p>
    <w:p w14:paraId="2ADA9811">
      <w:pPr>
        <w:spacing w:line="0" w:lineRule="atLeast"/>
        <w:rPr>
          <w:rFonts w:ascii="Times New Roman" w:hAnsi="Times New Roman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药品名称</w:t>
      </w:r>
      <w:r>
        <w:rPr>
          <w:color w:val="000000"/>
          <w:szCs w:val="21"/>
        </w:rPr>
        <w:t>]</w:t>
      </w:r>
    </w:p>
    <w:p w14:paraId="7F204062">
      <w:pPr>
        <w:spacing w:line="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通用名称：蒲公英颗粒</w:t>
      </w:r>
      <w:r>
        <w:rPr>
          <w:color w:val="000000"/>
          <w:szCs w:val="21"/>
        </w:rPr>
        <w:t xml:space="preserve">  </w:t>
      </w:r>
    </w:p>
    <w:p w14:paraId="47F42C7B">
      <w:pPr>
        <w:spacing w:line="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汉语拼音：</w:t>
      </w:r>
    </w:p>
    <w:p w14:paraId="522F4B25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成份</w:t>
      </w:r>
      <w:r>
        <w:rPr>
          <w:color w:val="000000"/>
          <w:szCs w:val="21"/>
        </w:rPr>
        <w:t>]</w:t>
      </w:r>
    </w:p>
    <w:p w14:paraId="79E5ACF6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性状</w:t>
      </w:r>
      <w:r>
        <w:rPr>
          <w:color w:val="000000"/>
          <w:szCs w:val="21"/>
        </w:rPr>
        <w:t>]</w:t>
      </w:r>
    </w:p>
    <w:p w14:paraId="4CB9DFAF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功能主治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清热消炎。用于上呼吸道感染，急性扁桃体炎，疖肿。</w:t>
      </w:r>
    </w:p>
    <w:p w14:paraId="1C3A5FDF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规格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每袋装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克</w:t>
      </w:r>
    </w:p>
    <w:p w14:paraId="71C12B59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用法用量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开水冲服，一次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克，一日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次。</w:t>
      </w:r>
    </w:p>
    <w:p w14:paraId="7DEE6161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不良反应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监测数据显示，本品可见以下不良反应报告：恶心、呕吐、腹痛、腹泻、腹部不适、皮疹、瘙痒、头晕、头痛、嗜睡、过敏反应等。</w:t>
      </w:r>
    </w:p>
    <w:p w14:paraId="0EBBE914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[</w:t>
      </w:r>
      <w:r>
        <w:rPr>
          <w:rFonts w:hint="eastAsia"/>
          <w:b/>
          <w:bCs/>
          <w:color w:val="000000"/>
          <w:szCs w:val="21"/>
        </w:rPr>
        <w:t>禁忌</w:t>
      </w:r>
      <w:r>
        <w:rPr>
          <w:b/>
          <w:bCs/>
          <w:color w:val="000000"/>
          <w:szCs w:val="21"/>
        </w:rPr>
        <w:t>]</w:t>
      </w:r>
    </w:p>
    <w:p w14:paraId="75C06FE7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1.</w:t>
      </w:r>
      <w:r>
        <w:rPr>
          <w:rFonts w:hint="eastAsia"/>
          <w:b/>
          <w:bCs/>
          <w:color w:val="000000"/>
          <w:szCs w:val="21"/>
        </w:rPr>
        <w:t>糖尿病患者禁服。</w:t>
      </w:r>
    </w:p>
    <w:p w14:paraId="10A7E947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2.</w:t>
      </w:r>
      <w:r>
        <w:rPr>
          <w:rFonts w:hint="eastAsia"/>
          <w:b/>
          <w:bCs/>
          <w:color w:val="000000"/>
          <w:szCs w:val="21"/>
        </w:rPr>
        <w:t>对本品及所含成份过敏者禁用。</w:t>
      </w:r>
    </w:p>
    <w:p w14:paraId="35CBB1DB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[</w:t>
      </w:r>
      <w:r>
        <w:rPr>
          <w:rFonts w:hint="eastAsia"/>
          <w:b/>
          <w:bCs/>
          <w:color w:val="000000"/>
          <w:szCs w:val="21"/>
        </w:rPr>
        <w:t>注意事项</w:t>
      </w:r>
      <w:r>
        <w:rPr>
          <w:b/>
          <w:bCs/>
          <w:color w:val="000000"/>
          <w:szCs w:val="21"/>
        </w:rPr>
        <w:t>]</w:t>
      </w:r>
    </w:p>
    <w:p w14:paraId="707D9BA9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1.</w:t>
      </w:r>
      <w:r>
        <w:rPr>
          <w:rFonts w:hint="eastAsia"/>
          <w:b/>
          <w:bCs/>
          <w:color w:val="000000"/>
          <w:szCs w:val="21"/>
        </w:rPr>
        <w:t>忌烟酒、辛辣、鱼腥食物。</w:t>
      </w:r>
    </w:p>
    <w:p w14:paraId="0A1456F1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2.</w:t>
      </w:r>
      <w:r>
        <w:rPr>
          <w:rFonts w:hint="eastAsia"/>
          <w:b/>
          <w:bCs/>
          <w:color w:val="000000"/>
          <w:szCs w:val="21"/>
        </w:rPr>
        <w:t>不宜在服药期间同时服用温补性中药。</w:t>
      </w:r>
    </w:p>
    <w:p w14:paraId="5DE504CE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3.</w:t>
      </w:r>
      <w:r>
        <w:rPr>
          <w:rFonts w:hint="eastAsia"/>
          <w:b/>
          <w:bCs/>
          <w:color w:val="000000"/>
          <w:szCs w:val="21"/>
        </w:rPr>
        <w:t>孕妇慎用。哺乳期妇女、年老体弱者应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在医师指导下服用。</w:t>
      </w:r>
    </w:p>
    <w:p w14:paraId="4C62EDB8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4.</w:t>
      </w:r>
      <w:r>
        <w:rPr>
          <w:rFonts w:hint="eastAsia"/>
          <w:b/>
          <w:bCs/>
          <w:color w:val="000000"/>
          <w:szCs w:val="21"/>
        </w:rPr>
        <w:t>脾虚大便溏者慎用。</w:t>
      </w:r>
    </w:p>
    <w:p w14:paraId="4B90872E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5.</w:t>
      </w:r>
      <w:r>
        <w:rPr>
          <w:rFonts w:hint="eastAsia"/>
          <w:b/>
          <w:bCs/>
          <w:color w:val="000000"/>
          <w:szCs w:val="21"/>
        </w:rPr>
        <w:t>属风寒感冒咽痛者，症见恶寒发热、无汗、鼻流清涕者慎用。</w:t>
      </w:r>
    </w:p>
    <w:p w14:paraId="4236D580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6.</w:t>
      </w:r>
      <w:r>
        <w:rPr>
          <w:rFonts w:hint="eastAsia"/>
          <w:b/>
          <w:bCs/>
          <w:color w:val="000000"/>
          <w:szCs w:val="21"/>
        </w:rPr>
        <w:t>高血压、心脏病、肝病、肾病等患者应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在医师指导下服用。</w:t>
      </w:r>
    </w:p>
    <w:p w14:paraId="7217A912">
      <w:pPr>
        <w:spacing w:line="0" w:lineRule="atLeas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7</w:t>
      </w:r>
      <w:r>
        <w:rPr>
          <w:b/>
          <w:bCs/>
          <w:color w:val="000000"/>
          <w:szCs w:val="21"/>
        </w:rPr>
        <w:t>.</w:t>
      </w:r>
      <w:r>
        <w:rPr>
          <w:rFonts w:hint="eastAsia"/>
          <w:b/>
          <w:bCs/>
          <w:color w:val="000000"/>
          <w:szCs w:val="21"/>
        </w:rPr>
        <w:t>疮疖较重或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者</w:t>
      </w:r>
      <w:r>
        <w:rPr>
          <w:rFonts w:hint="eastAsia"/>
          <w:b/>
          <w:bCs/>
          <w:color w:val="000000"/>
          <w:szCs w:val="21"/>
        </w:rPr>
        <w:t>局部变软化脓时应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到医院就诊。</w:t>
      </w:r>
    </w:p>
    <w:p w14:paraId="74E972BC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8.</w:t>
      </w:r>
      <w:r>
        <w:rPr>
          <w:rFonts w:hint="eastAsia"/>
          <w:b/>
          <w:bCs/>
          <w:color w:val="000000"/>
          <w:szCs w:val="21"/>
        </w:rPr>
        <w:t>扁桃体有化脓或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者</w:t>
      </w:r>
      <w:r>
        <w:rPr>
          <w:rFonts w:hint="eastAsia"/>
          <w:b/>
          <w:bCs/>
          <w:snapToGrid w:val="0"/>
          <w:color w:val="000000"/>
          <w:szCs w:val="21"/>
        </w:rPr>
        <w:t>发热体温超过</w:t>
      </w:r>
      <w:r>
        <w:rPr>
          <w:b/>
          <w:bCs/>
          <w:snapToGrid w:val="0"/>
          <w:color w:val="000000"/>
          <w:szCs w:val="21"/>
        </w:rPr>
        <w:t>38.5</w:t>
      </w:r>
      <w:r>
        <w:rPr>
          <w:rFonts w:hint="eastAsia"/>
          <w:b/>
          <w:bCs/>
          <w:snapToGrid w:val="0"/>
          <w:color w:val="000000"/>
          <w:szCs w:val="21"/>
        </w:rPr>
        <w:t>℃者</w:t>
      </w:r>
      <w:r>
        <w:rPr>
          <w:rFonts w:hint="eastAsia"/>
          <w:b/>
          <w:bCs/>
          <w:color w:val="000000"/>
          <w:szCs w:val="21"/>
        </w:rPr>
        <w:t>应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去医院就诊。</w:t>
      </w:r>
    </w:p>
    <w:p w14:paraId="7B118E5F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9.</w:t>
      </w:r>
      <w:r>
        <w:rPr>
          <w:rFonts w:hint="eastAsia"/>
          <w:b/>
          <w:bCs/>
          <w:color w:val="000000"/>
          <w:szCs w:val="21"/>
        </w:rPr>
        <w:t>服药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天症状无缓解，应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当</w:t>
      </w:r>
      <w:r>
        <w:rPr>
          <w:rFonts w:hint="eastAsia"/>
          <w:b/>
          <w:bCs/>
          <w:color w:val="000000"/>
          <w:szCs w:val="21"/>
        </w:rPr>
        <w:t>去医院就诊。</w:t>
      </w:r>
    </w:p>
    <w:p w14:paraId="09D6D6DF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10.</w:t>
      </w:r>
      <w:r>
        <w:rPr>
          <w:rFonts w:hint="eastAsia"/>
          <w:b/>
          <w:bCs/>
          <w:color w:val="000000"/>
          <w:szCs w:val="21"/>
        </w:rPr>
        <w:t>过敏体质者慎用。</w:t>
      </w:r>
    </w:p>
    <w:p w14:paraId="39CC8AA7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11.</w:t>
      </w:r>
      <w:r>
        <w:rPr>
          <w:rFonts w:hint="eastAsia"/>
          <w:b/>
          <w:bCs/>
          <w:color w:val="000000"/>
          <w:szCs w:val="21"/>
        </w:rPr>
        <w:t>本品性状发生改变时禁止使用。</w:t>
      </w:r>
    </w:p>
    <w:p w14:paraId="1650E9DE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12.</w:t>
      </w:r>
      <w:r>
        <w:rPr>
          <w:rFonts w:hint="eastAsia"/>
          <w:b/>
          <w:bCs/>
          <w:color w:val="000000"/>
          <w:szCs w:val="21"/>
        </w:rPr>
        <w:t>请将本品放在儿童不能接触的地方。</w:t>
      </w:r>
    </w:p>
    <w:p w14:paraId="7045065A">
      <w:pPr>
        <w:spacing w:line="0" w:lineRule="atLeas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13.</w:t>
      </w:r>
      <w:r>
        <w:rPr>
          <w:rFonts w:hint="eastAsia"/>
          <w:b/>
          <w:bCs/>
          <w:color w:val="000000"/>
          <w:szCs w:val="21"/>
        </w:rPr>
        <w:t>如正在使用其他药品，使用本品前请咨询医师或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者</w:t>
      </w:r>
      <w:r>
        <w:rPr>
          <w:rFonts w:hint="eastAsia"/>
          <w:b/>
          <w:bCs/>
          <w:color w:val="000000"/>
          <w:szCs w:val="21"/>
        </w:rPr>
        <w:t>药师。</w:t>
      </w:r>
    </w:p>
    <w:p w14:paraId="2D93F827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药物相互作用</w:t>
      </w:r>
      <w:r>
        <w:rPr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如与其他药物同时使用可能会发生药物相互作用，详情请咨询医师或</w:t>
      </w:r>
      <w:r>
        <w:rPr>
          <w:rFonts w:hint="eastAsia" w:eastAsia="宋体"/>
          <w:color w:val="000000"/>
          <w:szCs w:val="21"/>
          <w:lang w:eastAsia="zh-CN"/>
        </w:rPr>
        <w:t>者</w:t>
      </w:r>
      <w:r>
        <w:rPr>
          <w:rFonts w:hint="eastAsia"/>
          <w:color w:val="000000"/>
          <w:szCs w:val="21"/>
        </w:rPr>
        <w:t>药师。</w:t>
      </w:r>
    </w:p>
    <w:p w14:paraId="6C277B92">
      <w:pPr>
        <w:spacing w:line="0" w:lineRule="atLeas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贮藏</w:t>
      </w:r>
      <w:r>
        <w:rPr>
          <w:color w:val="000000"/>
          <w:szCs w:val="21"/>
        </w:rPr>
        <w:t xml:space="preserve">] 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包装</w:t>
      </w:r>
      <w:r>
        <w:rPr>
          <w:color w:val="000000"/>
          <w:szCs w:val="21"/>
        </w:rPr>
        <w:t>]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有效期</w:t>
      </w:r>
      <w:r>
        <w:rPr>
          <w:color w:val="000000"/>
          <w:szCs w:val="21"/>
        </w:rPr>
        <w:t>]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执行标准</w:t>
      </w:r>
      <w:r>
        <w:rPr>
          <w:color w:val="000000"/>
          <w:szCs w:val="21"/>
        </w:rPr>
        <w:t>]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批准文号</w:t>
      </w:r>
      <w:r>
        <w:rPr>
          <w:color w:val="000000"/>
          <w:szCs w:val="21"/>
        </w:rPr>
        <w:t>]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说明书修订日期</w:t>
      </w:r>
      <w:r>
        <w:rPr>
          <w:color w:val="000000"/>
          <w:szCs w:val="21"/>
        </w:rPr>
        <w:t>]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药品上市许可持有人</w:t>
      </w:r>
      <w:r>
        <w:rPr>
          <w:color w:val="000000"/>
          <w:szCs w:val="21"/>
        </w:rPr>
        <w:t>]</w:t>
      </w:r>
    </w:p>
    <w:p w14:paraId="2B3809B4">
      <w:pPr>
        <w:spacing w:line="0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名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称：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注册地址：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邮政编码：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电话号码：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传真号码：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网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址：</w:t>
      </w:r>
    </w:p>
    <w:p w14:paraId="0F8C0435">
      <w:pPr>
        <w:spacing w:line="0" w:lineRule="atLeast"/>
        <w:rPr>
          <w:color w:val="000000"/>
          <w:szCs w:val="24"/>
        </w:rPr>
      </w:pPr>
      <w:r>
        <w:rPr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生产企业</w:t>
      </w:r>
      <w:r>
        <w:rPr>
          <w:color w:val="000000"/>
          <w:szCs w:val="21"/>
        </w:rPr>
        <w:t>]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企业名称：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</w:rPr>
        <w:t>生产地址：</w:t>
      </w:r>
      <w:r>
        <w:rPr>
          <w:color w:val="000000"/>
          <w:szCs w:val="21"/>
        </w:rPr>
        <w:br w:type="textWrapping"/>
      </w:r>
      <w:r>
        <w:rPr>
          <w:rFonts w:hint="eastAsia"/>
          <w:b/>
          <w:bCs/>
          <w:color w:val="000000"/>
        </w:rPr>
        <w:t>如有问题可与药品上市许可持有人联系</w:t>
      </w:r>
    </w:p>
    <w:p w14:paraId="532F7387">
      <w:pPr>
        <w:spacing w:line="520" w:lineRule="exact"/>
        <w:ind w:firstLine="562" w:firstLineChars="200"/>
        <w:rPr>
          <w:rFonts w:ascii="楷体_GB2312" w:eastAsia="仿宋"/>
          <w:b/>
          <w:color w:val="000000"/>
          <w:sz w:val="28"/>
          <w:szCs w:val="28"/>
        </w:rPr>
      </w:pPr>
    </w:p>
    <w:p w14:paraId="3950EF9F">
      <w:pPr>
        <w:spacing w:line="520" w:lineRule="exact"/>
        <w:ind w:firstLine="562" w:firstLineChars="200"/>
        <w:rPr>
          <w:rFonts w:ascii="楷体_GB2312" w:eastAsia="仿宋"/>
          <w:b/>
          <w:color w:val="000000"/>
          <w:sz w:val="28"/>
          <w:szCs w:val="28"/>
        </w:rPr>
      </w:pPr>
    </w:p>
    <w:p w14:paraId="72A4D211">
      <w:pPr>
        <w:ind w:left="290" w:leftChars="88" w:hanging="105" w:hangingChars="50"/>
        <w:rPr>
          <w:rFonts w:ascii="Times New Roman"/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（注：本说明书范本原则上不得删减，如原批准说明书的安全性内容较本范本内容更全面或</w:t>
      </w:r>
      <w:r>
        <w:rPr>
          <w:rFonts w:hint="eastAsia" w:eastAsia="宋体"/>
          <w:color w:val="000000"/>
          <w:szCs w:val="21"/>
          <w:lang w:eastAsia="zh-CN"/>
        </w:rPr>
        <w:t>者</w:t>
      </w:r>
      <w:r>
        <w:rPr>
          <w:rFonts w:hint="eastAsia"/>
          <w:color w:val="000000"/>
          <w:szCs w:val="21"/>
        </w:rPr>
        <w:t>更严格的，应</w:t>
      </w:r>
      <w:r>
        <w:rPr>
          <w:rFonts w:hint="eastAsia" w:eastAsia="宋体"/>
          <w:color w:val="000000"/>
          <w:szCs w:val="21"/>
          <w:lang w:eastAsia="zh-CN"/>
        </w:rPr>
        <w:t>当</w:t>
      </w:r>
      <w:r>
        <w:rPr>
          <w:rFonts w:hint="eastAsia"/>
          <w:color w:val="000000"/>
          <w:szCs w:val="21"/>
        </w:rPr>
        <w:t>保留原批准内容。）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ADDIN CNKISM.UserStyle</w:instrText>
      </w:r>
      <w:r>
        <w:rPr>
          <w:color w:val="000000"/>
          <w:szCs w:val="21"/>
        </w:rPr>
        <w:fldChar w:fldCharType="end"/>
      </w:r>
    </w:p>
    <w:p w14:paraId="40F12628">
      <w:pPr>
        <w:keepNext w:val="0"/>
        <w:keepLines w:val="0"/>
        <w:spacing w:before="0" w:after="0" w:line="240" w:lineRule="auto"/>
        <w:jc w:val="both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7CFF"/>
    <w:rsid w:val="024E43D4"/>
    <w:rsid w:val="40317CFF"/>
    <w:rsid w:val="7590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2025-05-27T06:44:00Z</dcterms:created>
  <dc:creator>新祺</dc:creator>
  <cp:lastModifiedBy>新祺</cp:lastModifiedBy>
  <dcterms:modified xsi:type="dcterms:W3CDTF">2025-05-27T06:45:41Z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58CEA3EA55A340BBA176DDECFF16106A_13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