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513B0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210580E">
      <w:pPr>
        <w:keepNext/>
        <w:keepLines/>
        <w:spacing w:before="260" w:after="260" w:line="408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28"/>
        </w:rPr>
        <w:t>金莲花润喉片说明书</w:t>
      </w:r>
    </w:p>
    <w:p w14:paraId="24AEFFC1">
      <w:pPr>
        <w:spacing w:line="300" w:lineRule="exact"/>
        <w:jc w:val="center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请仔细阅读说明书并按说明使用或在药师指导下购买和使用</w:t>
      </w:r>
    </w:p>
    <w:p w14:paraId="7AC2D5F0">
      <w:pPr>
        <w:spacing w:line="0" w:lineRule="atLeas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药品名称</w:t>
      </w:r>
      <w:r>
        <w:rPr>
          <w:color w:val="000000"/>
          <w:szCs w:val="21"/>
        </w:rPr>
        <w:t>]</w:t>
      </w:r>
    </w:p>
    <w:p w14:paraId="54DF7D3A">
      <w:pPr>
        <w:spacing w:line="28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通用名称：金莲花润喉片</w:t>
      </w:r>
    </w:p>
    <w:p w14:paraId="22E55D6C">
      <w:pPr>
        <w:spacing w:line="28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汉语拼音：</w:t>
      </w:r>
    </w:p>
    <w:p w14:paraId="278E2201">
      <w:pPr>
        <w:spacing w:line="0" w:lineRule="atLeas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成份</w:t>
      </w:r>
      <w:r>
        <w:rPr>
          <w:color w:val="000000"/>
          <w:szCs w:val="21"/>
        </w:rPr>
        <w:t>]</w:t>
      </w:r>
    </w:p>
    <w:p w14:paraId="52081B2A">
      <w:pPr>
        <w:spacing w:line="280" w:lineRule="exac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性状</w:t>
      </w:r>
      <w:r>
        <w:rPr>
          <w:color w:val="000000"/>
          <w:szCs w:val="21"/>
        </w:rPr>
        <w:t>]</w:t>
      </w:r>
    </w:p>
    <w:p w14:paraId="5FFA4B26">
      <w:pPr>
        <w:spacing w:line="280" w:lineRule="exac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功能主治</w:t>
      </w:r>
      <w:r>
        <w:rPr>
          <w:color w:val="000000"/>
          <w:szCs w:val="21"/>
        </w:rPr>
        <w:t>]</w:t>
      </w:r>
      <w:r>
        <w:rPr>
          <w:rFonts w:hint="eastAsia"/>
          <w:color w:val="000000"/>
          <w:szCs w:val="21"/>
        </w:rPr>
        <w:t>清热解毒，消肿止痛，利咽。用于热毒内盛所致的咽部红肿疼痛、牙龈肿胀、口舌生疮；急性咽炎、急性扁桃体炎、上呼吸道感染见上述证候者。</w:t>
      </w:r>
      <w:r>
        <w:rPr>
          <w:color w:val="000000"/>
          <w:szCs w:val="21"/>
        </w:rPr>
        <w:t xml:space="preserve"> </w:t>
      </w:r>
    </w:p>
    <w:p w14:paraId="3C40B56A">
      <w:pPr>
        <w:spacing w:line="280" w:lineRule="exact"/>
        <w:rPr>
          <w:rFonts w:eastAsia="等线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规格</w:t>
      </w:r>
      <w:r>
        <w:rPr>
          <w:color w:val="000000"/>
          <w:szCs w:val="21"/>
        </w:rPr>
        <w:t>]</w:t>
      </w:r>
      <w:r>
        <w:rPr>
          <w:rFonts w:hint="eastAsia"/>
          <w:color w:val="000000"/>
          <w:szCs w:val="21"/>
        </w:rPr>
        <w:t>每片重0.5克</w:t>
      </w:r>
    </w:p>
    <w:p w14:paraId="02860F4D">
      <w:pPr>
        <w:spacing w:line="280" w:lineRule="exac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用法用量</w:t>
      </w:r>
      <w:r>
        <w:rPr>
          <w:color w:val="000000"/>
          <w:szCs w:val="21"/>
        </w:rPr>
        <w:t>]</w:t>
      </w:r>
      <w:r>
        <w:rPr>
          <w:rFonts w:hint="eastAsia"/>
          <w:color w:val="000000"/>
          <w:szCs w:val="21"/>
        </w:rPr>
        <w:t>含服。一次1～2片，一日4～5次。</w:t>
      </w:r>
    </w:p>
    <w:p w14:paraId="07A61AF3">
      <w:pPr>
        <w:spacing w:line="280" w:lineRule="exac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不良反应</w:t>
      </w:r>
      <w:r>
        <w:rPr>
          <w:color w:val="000000"/>
          <w:szCs w:val="21"/>
        </w:rPr>
        <w:t>]</w:t>
      </w:r>
      <w:r>
        <w:rPr>
          <w:rFonts w:hint="eastAsia"/>
          <w:color w:val="000000"/>
          <w:szCs w:val="21"/>
        </w:rPr>
        <w:t>监测数据显示，本品可见以下不良反应报告：口干、呕吐、腹泻、局部烧灼感等。</w:t>
      </w:r>
    </w:p>
    <w:p w14:paraId="79D1861E">
      <w:pPr>
        <w:spacing w:line="0" w:lineRule="atLeast"/>
        <w:rPr>
          <w:b/>
          <w:color w:val="000000"/>
        </w:rPr>
      </w:pPr>
      <w:r>
        <w:rPr>
          <w:b/>
          <w:bCs/>
          <w:color w:val="000000"/>
          <w:szCs w:val="21"/>
        </w:rPr>
        <w:t>[</w:t>
      </w:r>
      <w:r>
        <w:rPr>
          <w:rFonts w:hint="eastAsia"/>
          <w:b/>
          <w:bCs/>
          <w:color w:val="000000"/>
          <w:szCs w:val="21"/>
        </w:rPr>
        <w:t>禁忌</w:t>
      </w:r>
      <w:r>
        <w:rPr>
          <w:b/>
          <w:bCs/>
          <w:color w:val="000000"/>
          <w:szCs w:val="21"/>
        </w:rPr>
        <w:t>]</w:t>
      </w:r>
      <w:r>
        <w:rPr>
          <w:rFonts w:hint="eastAsia"/>
          <w:b/>
          <w:bCs/>
          <w:color w:val="000000"/>
          <w:szCs w:val="21"/>
        </w:rPr>
        <w:t>对本品及所含成份过敏者禁用。</w:t>
      </w:r>
    </w:p>
    <w:p w14:paraId="49E2F188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[</w:t>
      </w:r>
      <w:r>
        <w:rPr>
          <w:rFonts w:hint="eastAsia"/>
          <w:b/>
          <w:bCs/>
          <w:color w:val="000000"/>
          <w:szCs w:val="21"/>
        </w:rPr>
        <w:t>注意事项</w:t>
      </w:r>
      <w:r>
        <w:rPr>
          <w:b/>
          <w:bCs/>
          <w:color w:val="000000"/>
          <w:szCs w:val="21"/>
        </w:rPr>
        <w:t>]</w:t>
      </w:r>
    </w:p>
    <w:p w14:paraId="30B6A5AF">
      <w:pPr>
        <w:spacing w:line="0" w:lineRule="atLeas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1.服药期间饮食宜清淡，忌烟酒及辛辣、油腻、鱼腥食物。</w:t>
      </w:r>
    </w:p>
    <w:p w14:paraId="4AE87FB5">
      <w:pPr>
        <w:spacing w:line="0" w:lineRule="atLeas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2.不宜在服药期间同时服用滋补性中药。</w:t>
      </w:r>
    </w:p>
    <w:p w14:paraId="1669FC09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.孕妇慎用，如确需服用，应</w:t>
      </w:r>
      <w:r>
        <w:rPr>
          <w:rFonts w:hint="eastAsia"/>
          <w:b/>
          <w:bCs/>
          <w:color w:val="000000"/>
          <w:szCs w:val="21"/>
          <w:lang w:eastAsia="zh-CN"/>
        </w:rPr>
        <w:t>当</w:t>
      </w:r>
      <w:r>
        <w:rPr>
          <w:rFonts w:hint="eastAsia"/>
          <w:b/>
          <w:bCs/>
          <w:color w:val="000000"/>
          <w:szCs w:val="21"/>
        </w:rPr>
        <w:t>在医师指导下使用。</w:t>
      </w:r>
    </w:p>
    <w:p w14:paraId="7A3FAE18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4</w:t>
      </w:r>
      <w:r>
        <w:rPr>
          <w:rFonts w:hint="eastAsia"/>
          <w:b/>
          <w:bCs/>
          <w:color w:val="000000"/>
          <w:szCs w:val="21"/>
        </w:rPr>
        <w:t>.本品苦寒，易伤胃气，老人及素体脾胃虚弱者慎服，脾虚大便溏者慎用。</w:t>
      </w:r>
    </w:p>
    <w:p w14:paraId="4273FD1A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5</w:t>
      </w:r>
      <w:r>
        <w:rPr>
          <w:rFonts w:hint="eastAsia"/>
          <w:b/>
          <w:bCs/>
          <w:color w:val="000000"/>
          <w:szCs w:val="21"/>
        </w:rPr>
        <w:t>.属风寒感冒咽痛者，症见恶寒发热、无汗、鼻流清涕者慎用。</w:t>
      </w:r>
    </w:p>
    <w:p w14:paraId="1F27BBAD">
      <w:pPr>
        <w:spacing w:line="0" w:lineRule="atLeas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.</w:t>
      </w:r>
      <w:r>
        <w:rPr>
          <w:rFonts w:hint="eastAsia"/>
          <w:b/>
          <w:bCs/>
          <w:color w:val="000000"/>
          <w:szCs w:val="21"/>
        </w:rPr>
        <w:t>虚火所致咽炎、扁桃体炎者慎用。</w:t>
      </w:r>
    </w:p>
    <w:p w14:paraId="6310B295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7.</w:t>
      </w:r>
      <w:r>
        <w:rPr>
          <w:rFonts w:hint="eastAsia"/>
          <w:b/>
          <w:bCs/>
          <w:color w:val="000000"/>
          <w:szCs w:val="21"/>
        </w:rPr>
        <w:t>按照用法用量服用，哺乳期妇女、年老体弱者应</w:t>
      </w:r>
      <w:r>
        <w:rPr>
          <w:rFonts w:hint="eastAsia"/>
          <w:b/>
          <w:bCs/>
          <w:color w:val="000000"/>
          <w:szCs w:val="21"/>
          <w:lang w:eastAsia="zh-CN"/>
        </w:rPr>
        <w:t>当</w:t>
      </w:r>
      <w:r>
        <w:rPr>
          <w:rFonts w:hint="eastAsia"/>
          <w:b/>
          <w:bCs/>
          <w:color w:val="000000"/>
          <w:szCs w:val="21"/>
        </w:rPr>
        <w:t>在医师指导下使用。</w:t>
      </w:r>
    </w:p>
    <w:p w14:paraId="27F281F2">
      <w:pPr>
        <w:spacing w:line="0" w:lineRule="atLeas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8</w:t>
      </w:r>
      <w:r>
        <w:rPr>
          <w:b/>
          <w:bCs/>
          <w:color w:val="000000"/>
          <w:szCs w:val="21"/>
        </w:rPr>
        <w:t>.</w:t>
      </w:r>
      <w:r>
        <w:rPr>
          <w:rFonts w:hint="eastAsia"/>
          <w:b/>
          <w:bCs/>
          <w:color w:val="000000"/>
          <w:szCs w:val="21"/>
        </w:rPr>
        <w:t>咽炎伴咽部其他器质性疾病者、扁桃体有化脓者或全身高热者，应</w:t>
      </w:r>
      <w:r>
        <w:rPr>
          <w:rFonts w:hint="eastAsia"/>
          <w:b/>
          <w:bCs/>
          <w:color w:val="000000"/>
          <w:szCs w:val="21"/>
          <w:lang w:eastAsia="zh-CN"/>
        </w:rPr>
        <w:t>当</w:t>
      </w:r>
      <w:r>
        <w:rPr>
          <w:rFonts w:hint="eastAsia"/>
          <w:b/>
          <w:bCs/>
          <w:color w:val="000000"/>
          <w:szCs w:val="21"/>
        </w:rPr>
        <w:t>去医院就诊。</w:t>
      </w:r>
    </w:p>
    <w:p w14:paraId="63EB590A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9.</w:t>
      </w:r>
      <w:r>
        <w:rPr>
          <w:rFonts w:hint="eastAsia"/>
          <w:b/>
          <w:bCs/>
          <w:color w:val="000000"/>
          <w:szCs w:val="21"/>
        </w:rPr>
        <w:t>服药3天症状无缓解，或</w:t>
      </w:r>
      <w:r>
        <w:rPr>
          <w:rFonts w:hint="eastAsia"/>
          <w:b/>
          <w:bCs/>
          <w:color w:val="000000"/>
          <w:szCs w:val="21"/>
          <w:lang w:eastAsia="zh-CN"/>
        </w:rPr>
        <w:t>者</w:t>
      </w:r>
      <w:r>
        <w:rPr>
          <w:rFonts w:hint="eastAsia"/>
          <w:b/>
          <w:bCs/>
          <w:color w:val="000000"/>
          <w:szCs w:val="21"/>
        </w:rPr>
        <w:t>服药期间症状加重，或</w:t>
      </w:r>
      <w:r>
        <w:rPr>
          <w:rFonts w:hint="eastAsia"/>
          <w:b/>
          <w:bCs/>
          <w:color w:val="000000"/>
          <w:szCs w:val="21"/>
          <w:lang w:eastAsia="zh-CN"/>
        </w:rPr>
        <w:t>者</w:t>
      </w:r>
      <w:r>
        <w:rPr>
          <w:rFonts w:hint="eastAsia"/>
          <w:b/>
          <w:bCs/>
          <w:color w:val="000000"/>
          <w:szCs w:val="21"/>
        </w:rPr>
        <w:t>出现新的严重症状，应</w:t>
      </w:r>
      <w:r>
        <w:rPr>
          <w:rFonts w:hint="eastAsia"/>
          <w:b/>
          <w:bCs/>
          <w:color w:val="000000"/>
          <w:szCs w:val="21"/>
          <w:lang w:eastAsia="zh-CN"/>
        </w:rPr>
        <w:t>当</w:t>
      </w:r>
      <w:r>
        <w:rPr>
          <w:rFonts w:hint="eastAsia"/>
          <w:b/>
          <w:bCs/>
          <w:color w:val="000000"/>
          <w:szCs w:val="21"/>
        </w:rPr>
        <w:t>去医院就诊。</w:t>
      </w:r>
    </w:p>
    <w:p w14:paraId="0A022AFF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10</w:t>
      </w:r>
      <w:r>
        <w:rPr>
          <w:rFonts w:hint="eastAsia"/>
          <w:b/>
          <w:bCs/>
          <w:color w:val="000000"/>
          <w:szCs w:val="21"/>
        </w:rPr>
        <w:t>.过敏体质者慎用。</w:t>
      </w:r>
    </w:p>
    <w:p w14:paraId="4E9699C6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11</w:t>
      </w:r>
      <w:r>
        <w:rPr>
          <w:rFonts w:hint="eastAsia"/>
          <w:b/>
          <w:bCs/>
          <w:color w:val="000000"/>
          <w:szCs w:val="21"/>
        </w:rPr>
        <w:t>.本品性状发生改变时禁止使用。</w:t>
      </w:r>
    </w:p>
    <w:p w14:paraId="37F28B92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12.</w:t>
      </w:r>
      <w:r>
        <w:rPr>
          <w:rFonts w:hint="eastAsia"/>
          <w:b/>
          <w:bCs/>
          <w:color w:val="000000"/>
          <w:szCs w:val="21"/>
        </w:rPr>
        <w:t>请将本品放在儿童不能接触的地方。</w:t>
      </w:r>
    </w:p>
    <w:p w14:paraId="47CB3D5F">
      <w:pPr>
        <w:spacing w:line="0" w:lineRule="atLeas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.如正在使用其他药品，使用本品前请咨询医师或</w:t>
      </w:r>
      <w:r>
        <w:rPr>
          <w:rFonts w:hint="eastAsia"/>
          <w:b/>
          <w:bCs/>
          <w:color w:val="000000"/>
          <w:szCs w:val="21"/>
          <w:lang w:eastAsia="zh-CN"/>
        </w:rPr>
        <w:t>者</w:t>
      </w:r>
      <w:r>
        <w:rPr>
          <w:rFonts w:hint="eastAsia"/>
          <w:b/>
          <w:bCs/>
          <w:color w:val="000000"/>
          <w:szCs w:val="21"/>
        </w:rPr>
        <w:t>药师。</w:t>
      </w:r>
    </w:p>
    <w:p w14:paraId="5BD436CC">
      <w:pPr>
        <w:spacing w:line="0" w:lineRule="atLeas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药物相互作用]如与其他药物同时使用可能会发生药物相互作用，详情请咨询医师或</w:t>
      </w:r>
      <w:r>
        <w:rPr>
          <w:rFonts w:hint="eastAsia"/>
          <w:color w:val="000000"/>
          <w:szCs w:val="21"/>
          <w:lang w:eastAsia="zh-CN"/>
        </w:rPr>
        <w:t>者</w:t>
      </w:r>
      <w:r>
        <w:rPr>
          <w:rFonts w:hint="eastAsia"/>
          <w:color w:val="000000"/>
          <w:szCs w:val="21"/>
        </w:rPr>
        <w:t>药师。</w:t>
      </w:r>
    </w:p>
    <w:p w14:paraId="232EADDF">
      <w:pPr>
        <w:rPr>
          <w:color w:val="000000"/>
        </w:rPr>
      </w:pPr>
      <w:r>
        <w:rPr>
          <w:color w:val="000000"/>
        </w:rPr>
        <w:t>[</w:t>
      </w:r>
      <w:r>
        <w:rPr>
          <w:rFonts w:hint="eastAsia"/>
          <w:color w:val="000000"/>
        </w:rPr>
        <w:t>贮藏</w:t>
      </w:r>
      <w:r>
        <w:rPr>
          <w:color w:val="000000"/>
        </w:rPr>
        <w:t xml:space="preserve">] </w:t>
      </w:r>
      <w:r>
        <w:rPr>
          <w:color w:val="000000"/>
        </w:rPr>
        <w:br w:type="textWrapping"/>
      </w:r>
      <w:r>
        <w:rPr>
          <w:color w:val="000000"/>
        </w:rPr>
        <w:t>[</w:t>
      </w:r>
      <w:r>
        <w:rPr>
          <w:rFonts w:hint="eastAsia"/>
          <w:color w:val="000000"/>
        </w:rPr>
        <w:t>包装</w:t>
      </w:r>
      <w:r>
        <w:rPr>
          <w:color w:val="000000"/>
        </w:rPr>
        <w:t>]</w:t>
      </w:r>
      <w:r>
        <w:rPr>
          <w:color w:val="000000"/>
        </w:rPr>
        <w:br w:type="textWrapping"/>
      </w:r>
      <w:r>
        <w:rPr>
          <w:color w:val="000000"/>
        </w:rPr>
        <w:t>[</w:t>
      </w:r>
      <w:r>
        <w:rPr>
          <w:rFonts w:hint="eastAsia"/>
          <w:color w:val="000000"/>
        </w:rPr>
        <w:t>有效期</w:t>
      </w:r>
      <w:r>
        <w:rPr>
          <w:color w:val="000000"/>
        </w:rPr>
        <w:t>]</w:t>
      </w:r>
      <w:bookmarkStart w:id="0" w:name="_GoBack"/>
      <w:bookmarkEnd w:id="0"/>
      <w:r>
        <w:rPr>
          <w:color w:val="000000"/>
        </w:rPr>
        <w:br w:type="textWrapping"/>
      </w:r>
      <w:r>
        <w:rPr>
          <w:color w:val="000000"/>
        </w:rPr>
        <w:t>[</w:t>
      </w:r>
      <w:r>
        <w:rPr>
          <w:rFonts w:hint="eastAsia"/>
          <w:color w:val="000000"/>
        </w:rPr>
        <w:t>执行标准</w:t>
      </w:r>
      <w:r>
        <w:rPr>
          <w:color w:val="000000"/>
        </w:rPr>
        <w:t>]</w:t>
      </w:r>
      <w:r>
        <w:rPr>
          <w:color w:val="000000"/>
        </w:rPr>
        <w:br w:type="textWrapping"/>
      </w:r>
      <w:r>
        <w:rPr>
          <w:color w:val="000000"/>
        </w:rPr>
        <w:t>[</w:t>
      </w:r>
      <w:r>
        <w:rPr>
          <w:rFonts w:hint="eastAsia"/>
          <w:color w:val="000000"/>
        </w:rPr>
        <w:t>批准文号</w:t>
      </w:r>
      <w:r>
        <w:rPr>
          <w:color w:val="000000"/>
        </w:rPr>
        <w:t>]</w:t>
      </w:r>
      <w:r>
        <w:rPr>
          <w:color w:val="000000"/>
        </w:rPr>
        <w:br w:type="textWrapping"/>
      </w:r>
      <w:r>
        <w:rPr>
          <w:color w:val="000000"/>
        </w:rPr>
        <w:t>[</w:t>
      </w:r>
      <w:r>
        <w:rPr>
          <w:rFonts w:hint="eastAsia"/>
          <w:color w:val="000000"/>
        </w:rPr>
        <w:t>说明书修订日期</w:t>
      </w:r>
      <w:r>
        <w:rPr>
          <w:color w:val="000000"/>
        </w:rPr>
        <w:t>]</w:t>
      </w:r>
      <w:r>
        <w:rPr>
          <w:color w:val="000000"/>
        </w:rPr>
        <w:br w:type="textWrapping"/>
      </w:r>
      <w:r>
        <w:rPr>
          <w:color w:val="000000"/>
        </w:rPr>
        <w:t>[</w:t>
      </w:r>
      <w:r>
        <w:rPr>
          <w:rFonts w:hint="eastAsia"/>
          <w:color w:val="000000"/>
        </w:rPr>
        <w:t>药品上市许可持有人</w:t>
      </w:r>
      <w:r>
        <w:rPr>
          <w:color w:val="000000"/>
        </w:rPr>
        <w:t>]</w:t>
      </w:r>
    </w:p>
    <w:p w14:paraId="0FB49CEE">
      <w:pPr>
        <w:rPr>
          <w:color w:val="000000"/>
        </w:rPr>
      </w:pPr>
      <w:r>
        <w:rPr>
          <w:rFonts w:hint="eastAsia"/>
          <w:color w:val="000000"/>
        </w:rPr>
        <w:t>名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称：</w:t>
      </w:r>
      <w:r>
        <w:rPr>
          <w:color w:val="000000"/>
        </w:rPr>
        <w:t xml:space="preserve"> </w:t>
      </w:r>
      <w:r>
        <w:rPr>
          <w:color w:val="000000"/>
        </w:rPr>
        <w:br w:type="textWrapping"/>
      </w:r>
      <w:r>
        <w:rPr>
          <w:rFonts w:hint="eastAsia"/>
          <w:color w:val="000000"/>
        </w:rPr>
        <w:t>注册地址：</w:t>
      </w:r>
      <w:r>
        <w:rPr>
          <w:color w:val="000000"/>
        </w:rPr>
        <w:br w:type="textWrapping"/>
      </w:r>
      <w:r>
        <w:rPr>
          <w:rFonts w:hint="eastAsia"/>
          <w:color w:val="000000"/>
        </w:rPr>
        <w:t>邮政编码：</w:t>
      </w:r>
      <w:r>
        <w:rPr>
          <w:color w:val="000000"/>
        </w:rPr>
        <w:br w:type="textWrapping"/>
      </w:r>
      <w:r>
        <w:rPr>
          <w:rFonts w:hint="eastAsia"/>
          <w:color w:val="000000"/>
        </w:rPr>
        <w:t>电话号码：</w:t>
      </w:r>
      <w:r>
        <w:rPr>
          <w:color w:val="000000"/>
        </w:rPr>
        <w:br w:type="textWrapping"/>
      </w:r>
      <w:r>
        <w:rPr>
          <w:rFonts w:hint="eastAsia"/>
          <w:color w:val="000000"/>
        </w:rPr>
        <w:t>传真号码：</w:t>
      </w:r>
      <w:r>
        <w:rPr>
          <w:color w:val="000000"/>
        </w:rPr>
        <w:br w:type="textWrapping"/>
      </w:r>
      <w:r>
        <w:rPr>
          <w:rFonts w:hint="eastAsia"/>
          <w:color w:val="000000"/>
        </w:rPr>
        <w:t>网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址：</w:t>
      </w:r>
    </w:p>
    <w:p w14:paraId="59CD180B">
      <w:pPr>
        <w:rPr>
          <w:b/>
          <w:bCs/>
          <w:color w:val="000000"/>
        </w:rPr>
      </w:pPr>
      <w:r>
        <w:rPr>
          <w:color w:val="000000"/>
        </w:rPr>
        <w:t>[</w:t>
      </w:r>
      <w:r>
        <w:rPr>
          <w:rFonts w:hint="eastAsia"/>
          <w:color w:val="000000"/>
        </w:rPr>
        <w:t>生产企业</w:t>
      </w:r>
      <w:r>
        <w:rPr>
          <w:color w:val="000000"/>
        </w:rPr>
        <w:t>]</w:t>
      </w:r>
      <w:r>
        <w:rPr>
          <w:color w:val="000000"/>
        </w:rPr>
        <w:br w:type="textWrapping"/>
      </w:r>
      <w:r>
        <w:rPr>
          <w:rFonts w:hint="eastAsia"/>
          <w:color w:val="000000"/>
        </w:rPr>
        <w:t>企业名称：</w:t>
      </w:r>
      <w:r>
        <w:rPr>
          <w:color w:val="000000"/>
        </w:rPr>
        <w:t xml:space="preserve"> </w:t>
      </w:r>
      <w:r>
        <w:rPr>
          <w:color w:val="000000"/>
        </w:rPr>
        <w:br w:type="textWrapping"/>
      </w:r>
      <w:r>
        <w:rPr>
          <w:rFonts w:hint="eastAsia"/>
          <w:color w:val="000000"/>
        </w:rPr>
        <w:t>生产地址：</w:t>
      </w:r>
      <w:r>
        <w:rPr>
          <w:color w:val="000000"/>
        </w:rPr>
        <w:br w:type="textWrapping"/>
      </w:r>
      <w:r>
        <w:rPr>
          <w:rFonts w:hint="eastAsia"/>
          <w:b/>
          <w:bCs/>
          <w:color w:val="000000"/>
        </w:rPr>
        <w:t>如有问题可与药品上市许可持有人联系</w:t>
      </w:r>
    </w:p>
    <w:p w14:paraId="7DC955DD">
      <w:pPr>
        <w:rPr>
          <w:b/>
          <w:bCs/>
          <w:color w:val="000000"/>
        </w:rPr>
      </w:pPr>
    </w:p>
    <w:p w14:paraId="617E7D69">
      <w:pPr>
        <w:rPr>
          <w:b/>
          <w:bCs/>
          <w:color w:val="000000"/>
        </w:rPr>
      </w:pPr>
    </w:p>
    <w:p w14:paraId="3F0C8407"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（注：本说明书范本原则上不得删减，如原批准说明书的安全性内容较本范本内容更全面或</w:t>
      </w:r>
      <w:r>
        <w:rPr>
          <w:rFonts w:hint="eastAsia"/>
          <w:color w:val="000000"/>
          <w:lang w:eastAsia="zh-CN"/>
        </w:rPr>
        <w:t>者</w:t>
      </w:r>
      <w:r>
        <w:rPr>
          <w:rFonts w:hint="eastAsia"/>
          <w:color w:val="000000"/>
        </w:rPr>
        <w:t>更严格的，应</w:t>
      </w:r>
      <w:r>
        <w:rPr>
          <w:rFonts w:hint="eastAsia"/>
          <w:color w:val="000000"/>
          <w:lang w:eastAsia="zh-CN"/>
        </w:rPr>
        <w:t>当</w:t>
      </w:r>
      <w:r>
        <w:rPr>
          <w:rFonts w:hint="eastAsia"/>
          <w:color w:val="000000"/>
        </w:rPr>
        <w:t>保留原批准内容。）</w:t>
      </w:r>
    </w:p>
    <w:p w14:paraId="200BAE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E2FFB"/>
    <w:rsid w:val="212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2025-07-02T01:21:00Z</dcterms:created>
  <dc:creator>新祺</dc:creator>
  <cp:lastModifiedBy>新祺</cp:lastModifiedBy>
  <dcterms:modified xsi:type="dcterms:W3CDTF">2025-07-02T01:25:55Z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A0A224C541EA4354B1DA2D49962CA818_11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