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生产质量管理体系存在严重缺陷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化妆品生产企业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名单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26"/>
        <w:gridCol w:w="406"/>
        <w:gridCol w:w="4414"/>
        <w:gridCol w:w="683"/>
        <w:gridCol w:w="1476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广东大展生物医药科技有限公司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粤妆20210336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广东淼迪珺化妆品有限公司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粤妆20220144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广州蕾妮安娜生物科技有限公司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广州美飘扬化妆品有限公司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粤妆20190035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广州市尚昇生物科技有限公司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粤妆20161771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广州市欣颖日用化工有限公司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粤妆20170024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广州奥琪生物科技有限公司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广州蓓茵生物科技有限公司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粤妆20170527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广州本草未来生物科技有限公司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粤妆20210008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广州楚颜化妆品有限公司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广州梵花化妆品有限公司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广州科雅生物科技有限公司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粤妆20170420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广东爱丽斯化妆品有限公司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粤妆20220160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广东微研生物科技有限公司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粤妆20190296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广州品尚生物科技发展有限公司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bidi="ar"/>
              </w:rPr>
              <w:t>粤妆20190034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广州市博仁生物科技有限公司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粤妆20240096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7" w:type="dxa"/>
          <w:trHeight w:val="510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82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广州市美肌源化妆品有限公司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粤妆20170338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广州众禾国际生物科技有限公司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粤妆20180200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佛山市汐颜化妆品有限公司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粤妆20180190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炫亮日用化工（佛山）有限公司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粤妆20220161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广州菲美生物科技有限公司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粤妆20161655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广东名女人化妆品有限公司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粤妆20160746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广州鸿华医药生物科技有限公司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粤妆20160688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广州姿三灏生物科技有限公司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粤妆20180017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广州爱昕医药科技有限公司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粤妆20220194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歆芳生物科技（广州）有限公司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粤妆20190206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清远市晨鑫生物科技有限公司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粤妆20210234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纯沅（佛山）医药生物科技有限公司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粤妆20210036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汕头市可若夕雨化妆品有限公司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广州市简尚化妆品制造有限公司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粤妆20220141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广州市龙显精细化工厂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bidi="ar"/>
              </w:rPr>
              <w:t>粤妆20170292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广州嫣恣化妆品有限公司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粤妆20170452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佛山市彩悦生物科技有限公司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粤妆20230262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佛山谷瑞莎化妆品有限公司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粤妆20230226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佛山卓宇新材料有限公司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粤妆20230161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汕头市飘爽化妆品有限公司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粤妆20220179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广州歆澜生物科技有限公司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粤妆20250044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汕头市李施德林化妆品有限公司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粤妆20160842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广东悦盛生物医药科技有限公司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粤妆20240074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广州伊尔美生物科技有限公司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粤妆20160719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广州环亚药业有限公司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粤妆20200138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广东省坤豪生物医药科技有限公司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粤妆20230227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广州九弘医药科技有限公司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粤妆20161597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广州市微云化妆品有限公司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粤妆20240194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3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广东星芮生物科技有限公司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粤妆20190152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4" w:type="dxa"/>
          <w:trHeight w:val="646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09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广东碧晟化妆品有限公司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粤妆20220227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</w:p>
    <w:p>
      <w:pPr>
        <w:spacing w:line="590" w:lineRule="exact"/>
        <w:rPr>
          <w:rFonts w:hint="eastAsia" w:ascii="仿宋" w:hAnsi="仿宋" w:eastAsia="仿宋" w:cs="Times New Roman"/>
          <w:sz w:val="32"/>
          <w:szCs w:val="32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2098" w:right="1588" w:bottom="1701" w:left="1588" w:header="851" w:footer="1417" w:gutter="0"/>
          <w:pgNumType w:fmt="decimal"/>
          <w:cols w:space="720" w:num="1"/>
          <w:rtlGutter w:val="0"/>
          <w:docGrid w:type="linesAndChars" w:linePitch="63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1D087086"/>
    <w:rsid w:val="1D0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2025-08-29T00:59:00Z</dcterms:created>
  <dc:creator>沉默的肥羔羊</dc:creator>
  <cp:lastModifiedBy>沉默的肥羔羊</cp:lastModifiedBy>
  <dcterms:modified xsi:type="dcterms:W3CDTF">2025-08-29T00:59:33Z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CF963A4A4FA24ABDB3D672026C08F1D2</vt:lpwstr>
  </property>
</Properties>
</file>