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360" w:lineRule="auto"/>
        <w:textAlignment w:val="auto"/>
        <w:rPr>
          <w:rFonts w:hint="eastAsia" w:ascii="黑体" w:hAnsi="黑体" w:eastAsia="黑体" w:cstheme="minorBidi"/>
          <w:b w:val="0"/>
          <w:bCs w:val="0"/>
          <w:snapToGrid/>
          <w:color w:val="auto"/>
          <w:kern w:val="2"/>
          <w:sz w:val="32"/>
          <w:szCs w:val="32"/>
          <w:lang w:eastAsia="zh-CN"/>
          <w14:ligatures w14:val="standardContextual"/>
        </w:rPr>
      </w:pPr>
      <w:r>
        <w:rPr>
          <w:rFonts w:ascii="黑体" w:hAnsi="黑体" w:eastAsia="黑体" w:cstheme="minorBidi"/>
          <w:b w:val="0"/>
          <w:bCs w:val="0"/>
          <w:snapToGrid/>
          <w:color w:val="auto"/>
          <w:kern w:val="2"/>
          <w:sz w:val="32"/>
          <w:szCs w:val="32"/>
          <w:lang w:eastAsia="zh-CN"/>
          <w14:ligatures w14:val="standardContextual"/>
        </w:rPr>
        <w:t>附件</w:t>
      </w:r>
      <w:r>
        <w:rPr>
          <w:rFonts w:hint="eastAsia" w:ascii="黑体" w:hAnsi="黑体" w:eastAsia="黑体" w:cstheme="minorBidi"/>
          <w:b w:val="0"/>
          <w:bCs w:val="0"/>
          <w:snapToGrid/>
          <w:color w:val="auto"/>
          <w:kern w:val="2"/>
          <w:sz w:val="32"/>
          <w:szCs w:val="32"/>
          <w:lang w:eastAsia="zh-CN"/>
          <w14:ligatures w14:val="standardContextual"/>
        </w:rPr>
        <w:t>3</w:t>
      </w:r>
    </w:p>
    <w:p>
      <w:pPr>
        <w:widowControl w:val="0"/>
        <w:kinsoku/>
        <w:autoSpaceDE/>
        <w:autoSpaceDN/>
        <w:adjustRightInd/>
        <w:snapToGrid/>
        <w:spacing w:line="360" w:lineRule="auto"/>
        <w:textAlignment w:val="auto"/>
        <w:rPr>
          <w:rFonts w:hint="eastAsia" w:ascii="黑体" w:hAnsi="黑体" w:eastAsia="黑体" w:cstheme="minorBidi"/>
          <w:b w:val="0"/>
          <w:bCs w:val="0"/>
          <w:snapToGrid/>
          <w:color w:val="auto"/>
          <w:kern w:val="2"/>
          <w:sz w:val="32"/>
          <w:szCs w:val="32"/>
          <w:lang w:eastAsia="zh-CN"/>
          <w14:ligatures w14:val="standardContextual"/>
        </w:rPr>
      </w:pPr>
    </w:p>
    <w:p>
      <w:pPr>
        <w:spacing w:before="147" w:line="223" w:lineRule="auto"/>
        <w:ind w:left="3301"/>
        <w:outlineLvl w:val="0"/>
        <w:rPr>
          <w:rFonts w:hint="eastAsia" w:ascii="宋体" w:hAnsi="宋体" w:eastAsia="宋体" w:cs="宋体"/>
          <w:sz w:val="43"/>
          <w:szCs w:val="43"/>
          <w:lang w:eastAsia="zh-CN"/>
        </w:rPr>
      </w:pPr>
      <w:r>
        <w:rPr>
          <w:rFonts w:hint="eastAsia" w:ascii="方正小标宋简体" w:hAnsi="方正小标宋简体" w:eastAsia="方正小标宋简体" w:cs="方正小标宋简体"/>
          <w:b w:val="0"/>
          <w:bCs w:val="0"/>
          <w:spacing w:val="3"/>
          <w:sz w:val="44"/>
          <w:szCs w:val="44"/>
          <w:lang w:eastAsia="zh-CN"/>
        </w:rPr>
        <w:t>修订说明</w:t>
      </w:r>
    </w:p>
    <w:p>
      <w:pPr>
        <w:spacing w:line="620" w:lineRule="exact"/>
        <w:rPr>
          <w:rFonts w:hint="eastAsia" w:ascii="仿宋" w:hAnsi="仿宋" w:eastAsia="仿宋" w:cs="仿宋"/>
          <w:sz w:val="32"/>
          <w:szCs w:val="32"/>
          <w:lang w:eastAsia="zh-CN"/>
        </w:rPr>
      </w:pPr>
      <w:bookmarkStart w:id="1" w:name="_GoBack"/>
      <w:bookmarkEnd w:id="1"/>
    </w:p>
    <w:p>
      <w:pPr>
        <w:widowControl w:val="0"/>
        <w:spacing w:before="0" w:line="620" w:lineRule="exact"/>
        <w:ind w:firstLine="596" w:firstLineChars="200"/>
        <w:jc w:val="both"/>
        <w:outlineLvl w:val="1"/>
        <w:rPr>
          <w:rFonts w:hint="eastAsia" w:ascii="黑体" w:hAnsi="黑体" w:eastAsia="黑体" w:cs="黑体"/>
          <w:sz w:val="32"/>
          <w:szCs w:val="32"/>
          <w:lang w:eastAsia="zh-CN"/>
        </w:rPr>
      </w:pPr>
      <w:r>
        <w:rPr>
          <w:rFonts w:ascii="黑体" w:hAnsi="黑体" w:eastAsia="黑体" w:cs="黑体"/>
          <w:spacing w:val="-11"/>
          <w:sz w:val="32"/>
          <w:szCs w:val="32"/>
          <w:lang w:eastAsia="zh-CN"/>
        </w:rPr>
        <w:t>一、《</w:t>
      </w:r>
      <w:r>
        <w:rPr>
          <w:rFonts w:hint="eastAsia" w:ascii="黑体" w:hAnsi="黑体" w:eastAsia="黑体" w:cs="黑体"/>
          <w:spacing w:val="-11"/>
          <w:sz w:val="32"/>
          <w:szCs w:val="32"/>
          <w:lang w:eastAsia="zh-CN"/>
        </w:rPr>
        <w:t>粤港澳大湾区内地临床急需进口港澳药械流通管理系统数据采集接口对接指南</w:t>
      </w:r>
      <w:r>
        <w:rPr>
          <w:rFonts w:ascii="黑体" w:hAnsi="黑体" w:eastAsia="黑体" w:cs="黑体"/>
          <w:spacing w:val="-11"/>
          <w:sz w:val="32"/>
          <w:szCs w:val="32"/>
          <w:lang w:eastAsia="zh-CN"/>
        </w:rPr>
        <w:t>》</w:t>
      </w:r>
      <w:r>
        <w:rPr>
          <w:rFonts w:hint="eastAsia" w:ascii="黑体" w:hAnsi="黑体" w:eastAsia="黑体" w:cs="黑体"/>
          <w:spacing w:val="-11"/>
          <w:sz w:val="32"/>
          <w:szCs w:val="32"/>
          <w:lang w:eastAsia="zh-CN"/>
        </w:rPr>
        <w:t>主要</w:t>
      </w:r>
      <w:r>
        <w:rPr>
          <w:rFonts w:ascii="黑体" w:hAnsi="黑体" w:eastAsia="黑体" w:cs="黑体"/>
          <w:spacing w:val="-11"/>
          <w:sz w:val="32"/>
          <w:szCs w:val="32"/>
          <w:lang w:eastAsia="zh-CN"/>
        </w:rPr>
        <w:t>修订</w:t>
      </w:r>
      <w:r>
        <w:rPr>
          <w:rFonts w:hint="eastAsia" w:ascii="黑体" w:hAnsi="黑体" w:eastAsia="黑体" w:cs="黑体"/>
          <w:spacing w:val="-11"/>
          <w:sz w:val="32"/>
          <w:szCs w:val="32"/>
          <w:lang w:eastAsia="zh-CN"/>
        </w:rPr>
        <w:t>内容</w:t>
      </w:r>
    </w:p>
    <w:p>
      <w:pPr>
        <w:pStyle w:val="2"/>
        <w:widowControl w:val="0"/>
        <w:spacing w:before="0" w:line="620" w:lineRule="exact"/>
        <w:ind w:left="0" w:firstLine="658"/>
        <w:jc w:val="both"/>
        <w:rPr>
          <w:rFonts w:hint="eastAsia" w:ascii="楷体" w:hAnsi="楷体" w:eastAsia="楷体" w:cs="楷体"/>
          <w:spacing w:val="-11"/>
          <w:lang w:eastAsia="zh-CN"/>
        </w:rPr>
      </w:pPr>
      <w:r>
        <w:rPr>
          <w:rFonts w:ascii="楷体" w:hAnsi="楷体" w:eastAsia="楷体" w:cs="楷体"/>
          <w:spacing w:val="-11"/>
          <w:lang w:eastAsia="zh-CN"/>
        </w:rPr>
        <w:t>（一）名词解释扩展</w:t>
      </w:r>
      <w:r>
        <w:rPr>
          <w:rFonts w:hint="eastAsia" w:ascii="楷体" w:hAnsi="楷体" w:eastAsia="楷体" w:cs="楷体"/>
          <w:spacing w:val="-11"/>
          <w:lang w:eastAsia="zh-CN"/>
        </w:rPr>
        <w:t>。</w:t>
      </w:r>
      <w:r>
        <w:rPr>
          <w:rFonts w:hint="eastAsia" w:ascii="仿宋" w:hAnsi="仿宋" w:eastAsia="仿宋" w:cs="仿宋"/>
          <w:spacing w:val="-2"/>
          <w:lang w:eastAsia="zh-CN"/>
        </w:rPr>
        <w:t>新版补充了“粤港澳大湾区内地九市”“急需港澳药械”等术语，依据《广东省粤港澳大湾区内地九市进口港澳药品医疗器械管理条例》明确指定医疗机构、药械经营企业在接口对接中的角色。</w:t>
      </w:r>
    </w:p>
    <w:p>
      <w:pPr>
        <w:pStyle w:val="2"/>
        <w:widowControl w:val="0"/>
        <w:spacing w:before="0" w:line="620" w:lineRule="exact"/>
        <w:ind w:left="0" w:firstLine="658"/>
        <w:jc w:val="both"/>
        <w:rPr>
          <w:rFonts w:hint="eastAsia" w:ascii="楷体" w:hAnsi="楷体" w:eastAsia="楷体" w:cs="楷体"/>
          <w:spacing w:val="-11"/>
          <w:lang w:eastAsia="zh-CN"/>
        </w:rPr>
      </w:pPr>
      <w:r>
        <w:rPr>
          <w:rFonts w:ascii="楷体" w:hAnsi="楷体" w:eastAsia="楷体" w:cs="楷体"/>
          <w:spacing w:val="-11"/>
          <w:lang w:eastAsia="zh-CN"/>
        </w:rPr>
        <w:t>（</w:t>
      </w:r>
      <w:r>
        <w:rPr>
          <w:rFonts w:hint="eastAsia" w:ascii="楷体" w:hAnsi="楷体" w:eastAsia="楷体" w:cs="楷体"/>
          <w:spacing w:val="-11"/>
          <w:lang w:eastAsia="zh-CN"/>
        </w:rPr>
        <w:t>二</w:t>
      </w:r>
      <w:r>
        <w:rPr>
          <w:rFonts w:ascii="楷体" w:hAnsi="楷体" w:eastAsia="楷体" w:cs="楷体"/>
          <w:spacing w:val="-11"/>
          <w:lang w:eastAsia="zh-CN"/>
        </w:rPr>
        <w:t xml:space="preserve">）身份认证机制由“数字证书”改为“统一身份平台 </w:t>
      </w:r>
      <w:r>
        <w:rPr>
          <w:rFonts w:hint="eastAsia" w:ascii="楷体" w:hAnsi="楷体" w:eastAsia="楷体" w:cs="楷体"/>
          <w:spacing w:val="-11"/>
          <w:lang w:eastAsia="zh-CN"/>
        </w:rPr>
        <w:t>四级认证(</w:t>
      </w:r>
      <w:r>
        <w:rPr>
          <w:rFonts w:ascii="楷体" w:hAnsi="楷体" w:eastAsia="楷体" w:cs="楷体"/>
          <w:spacing w:val="-11"/>
          <w:lang w:eastAsia="zh-CN"/>
        </w:rPr>
        <w:t>L2</w:t>
      </w:r>
      <w:r>
        <w:rPr>
          <w:rFonts w:hint="eastAsia" w:ascii="楷体" w:hAnsi="楷体" w:eastAsia="楷体" w:cs="楷体"/>
          <w:spacing w:val="-11"/>
          <w:lang w:eastAsia="zh-CN"/>
        </w:rPr>
        <w:t>)</w:t>
      </w:r>
      <w:r>
        <w:rPr>
          <w:rFonts w:ascii="楷体" w:hAnsi="楷体" w:eastAsia="楷体" w:cs="楷体"/>
          <w:spacing w:val="-11"/>
          <w:lang w:eastAsia="zh-CN"/>
        </w:rPr>
        <w:t xml:space="preserve"> + TOKEN”</w:t>
      </w:r>
      <w:r>
        <w:rPr>
          <w:rFonts w:hint="eastAsia" w:ascii="楷体" w:hAnsi="楷体" w:eastAsia="楷体" w:cs="楷体"/>
          <w:spacing w:val="-11"/>
          <w:lang w:eastAsia="zh-CN"/>
        </w:rPr>
        <w:t>。</w:t>
      </w:r>
      <w:r>
        <w:rPr>
          <w:rFonts w:hint="eastAsia" w:ascii="仿宋" w:hAnsi="仿宋" w:eastAsia="仿宋" w:cs="仿宋"/>
          <w:spacing w:val="-2"/>
          <w:lang w:eastAsia="zh-CN"/>
        </w:rPr>
        <w:t>旧版要求接入单位插入数字证书并通过 X509 证书校验登录；新版改为广东省统一身份认证平台实名核验（等级 L2 及</w:t>
      </w:r>
      <w:r>
        <w:rPr>
          <w:rFonts w:hint="eastAsia" w:ascii="仿宋" w:hAnsi="仿宋" w:eastAsia="仿宋" w:cs="仿宋"/>
          <w:color w:val="auto"/>
          <w:spacing w:val="-2"/>
          <w:lang w:eastAsia="zh-CN"/>
        </w:rPr>
        <w:t>以上），登录企业专属网页后获取 TOKEN 上报，取消强制数字证书，降低接入门槛并与省统一认证体系接轨。</w:t>
      </w:r>
    </w:p>
    <w:p>
      <w:pPr>
        <w:pStyle w:val="2"/>
        <w:widowControl w:val="0"/>
        <w:spacing w:before="0" w:line="620" w:lineRule="exact"/>
        <w:ind w:left="0" w:firstLine="658"/>
        <w:jc w:val="both"/>
        <w:rPr>
          <w:rFonts w:hint="eastAsia" w:ascii="楷体" w:hAnsi="楷体" w:eastAsia="楷体" w:cs="楷体"/>
          <w:spacing w:val="-11"/>
          <w:lang w:eastAsia="zh-CN"/>
        </w:rPr>
      </w:pPr>
      <w:r>
        <w:rPr>
          <w:rFonts w:ascii="楷体" w:hAnsi="楷体" w:eastAsia="楷体" w:cs="楷体"/>
          <w:spacing w:val="-11"/>
          <w:lang w:eastAsia="zh-CN"/>
        </w:rPr>
        <w:t>（</w:t>
      </w:r>
      <w:r>
        <w:rPr>
          <w:rFonts w:hint="eastAsia" w:ascii="楷体" w:hAnsi="楷体" w:eastAsia="楷体" w:cs="楷体"/>
          <w:spacing w:val="-11"/>
          <w:lang w:eastAsia="zh-CN"/>
        </w:rPr>
        <w:t>三</w:t>
      </w:r>
      <w:r>
        <w:rPr>
          <w:rFonts w:ascii="楷体" w:hAnsi="楷体" w:eastAsia="楷体" w:cs="楷体"/>
          <w:spacing w:val="-11"/>
          <w:lang w:eastAsia="zh-CN"/>
        </w:rPr>
        <w:t>）新增“数据报送要求”</w:t>
      </w:r>
      <w:r>
        <w:rPr>
          <w:rFonts w:hint="eastAsia" w:ascii="楷体" w:hAnsi="楷体" w:eastAsia="楷体" w:cs="楷体"/>
          <w:spacing w:val="-11"/>
          <w:lang w:eastAsia="zh-CN"/>
        </w:rPr>
        <w:t>。</w:t>
      </w:r>
      <w:r>
        <w:rPr>
          <w:rFonts w:hint="eastAsia" w:ascii="仿宋" w:hAnsi="仿宋" w:eastAsia="仿宋" w:cs="仿宋"/>
          <w:spacing w:val="-2"/>
          <w:lang w:eastAsia="zh-CN"/>
        </w:rPr>
        <w:t>新版增加了“</w:t>
      </w:r>
      <w:bookmarkStart w:id="0" w:name="_Toc200016242"/>
      <w:r>
        <w:rPr>
          <w:rFonts w:hint="eastAsia" w:ascii="仿宋" w:hAnsi="仿宋" w:eastAsia="仿宋" w:cs="仿宋"/>
          <w:spacing w:val="-2"/>
          <w:lang w:eastAsia="zh-CN"/>
        </w:rPr>
        <w:t xml:space="preserve">6 </w:t>
      </w:r>
      <w:r>
        <w:rPr>
          <w:rFonts w:hint="eastAsia" w:ascii="仿宋" w:hAnsi="仿宋" w:eastAsia="仿宋" w:cs="仿宋"/>
          <w:lang w:eastAsia="zh-CN"/>
        </w:rPr>
        <w:t>数据报送要求</w:t>
      </w:r>
      <w:bookmarkEnd w:id="0"/>
      <w:r>
        <w:rPr>
          <w:rFonts w:hint="eastAsia" w:ascii="仿宋" w:hAnsi="仿宋" w:eastAsia="仿宋" w:cs="仿宋"/>
          <w:spacing w:val="-2"/>
          <w:lang w:eastAsia="zh-CN"/>
        </w:rPr>
        <w:t>”章节，明确了药械经营企业与指定医疗机构的报送义务、报送时限及数据管理</w:t>
      </w:r>
      <w:r>
        <w:rPr>
          <w:rFonts w:hint="eastAsia" w:ascii="仿宋" w:hAnsi="仿宋" w:eastAsia="仿宋" w:cs="仿宋"/>
          <w:lang w:eastAsia="zh-CN"/>
        </w:rPr>
        <w:t>和合规要求</w:t>
      </w:r>
      <w:r>
        <w:rPr>
          <w:rFonts w:hint="eastAsia" w:ascii="仿宋" w:hAnsi="仿宋" w:eastAsia="仿宋" w:cs="仿宋"/>
          <w:spacing w:val="-2"/>
          <w:lang w:eastAsia="zh-CN"/>
        </w:rPr>
        <w:t>。</w:t>
      </w:r>
    </w:p>
    <w:p>
      <w:pPr>
        <w:pStyle w:val="2"/>
        <w:widowControl w:val="0"/>
        <w:spacing w:before="0" w:line="620" w:lineRule="exact"/>
        <w:ind w:left="0" w:firstLine="658"/>
        <w:jc w:val="both"/>
        <w:rPr>
          <w:rFonts w:hint="eastAsia" w:ascii="仿宋" w:hAnsi="仿宋" w:eastAsia="仿宋" w:cs="仿宋"/>
          <w:spacing w:val="-2"/>
          <w:lang w:eastAsia="zh-CN"/>
        </w:rPr>
      </w:pPr>
      <w:r>
        <w:rPr>
          <w:rFonts w:ascii="楷体" w:hAnsi="楷体" w:eastAsia="楷体" w:cs="楷体"/>
          <w:spacing w:val="-11"/>
          <w:lang w:eastAsia="zh-CN"/>
        </w:rPr>
        <w:t>（</w:t>
      </w:r>
      <w:r>
        <w:rPr>
          <w:rFonts w:hint="eastAsia" w:ascii="楷体" w:hAnsi="楷体" w:eastAsia="楷体" w:cs="楷体"/>
          <w:spacing w:val="-11"/>
          <w:lang w:eastAsia="zh-CN"/>
        </w:rPr>
        <w:t>四</w:t>
      </w:r>
      <w:r>
        <w:rPr>
          <w:rFonts w:ascii="楷体" w:hAnsi="楷体" w:eastAsia="楷体" w:cs="楷体"/>
          <w:spacing w:val="-11"/>
          <w:lang w:eastAsia="zh-CN"/>
        </w:rPr>
        <w:t>）新增技术支持与沟通渠道</w:t>
      </w:r>
      <w:r>
        <w:rPr>
          <w:rFonts w:hint="eastAsia" w:ascii="楷体" w:hAnsi="楷体" w:eastAsia="楷体" w:cs="楷体"/>
          <w:spacing w:val="-11"/>
          <w:lang w:eastAsia="zh-CN"/>
        </w:rPr>
        <w:t>说明。</w:t>
      </w:r>
      <w:r>
        <w:rPr>
          <w:rFonts w:hint="eastAsia" w:ascii="仿宋" w:hAnsi="仿宋" w:eastAsia="仿宋" w:cs="仿宋"/>
          <w:spacing w:val="-2"/>
          <w:lang w:eastAsia="zh-CN"/>
        </w:rPr>
        <w:t>新版增加了“7 联系我们”章节，为药械经营企业与指定医疗机构提供专业团队的技术指导。</w:t>
      </w:r>
    </w:p>
    <w:p>
      <w:pPr>
        <w:pStyle w:val="2"/>
        <w:widowControl w:val="0"/>
        <w:spacing w:before="0" w:line="620" w:lineRule="exact"/>
        <w:ind w:firstLine="596" w:firstLineChars="200"/>
        <w:jc w:val="both"/>
        <w:outlineLvl w:val="1"/>
        <w:rPr>
          <w:rFonts w:hint="eastAsia" w:ascii="黑体" w:hAnsi="黑体" w:eastAsia="黑体" w:cs="黑体"/>
          <w:spacing w:val="-11"/>
          <w:sz w:val="32"/>
          <w:szCs w:val="32"/>
          <w:lang w:eastAsia="zh-CN"/>
        </w:rPr>
      </w:pPr>
      <w:r>
        <w:rPr>
          <w:rFonts w:ascii="黑体" w:hAnsi="黑体" w:eastAsia="黑体" w:cs="黑体"/>
          <w:spacing w:val="-11"/>
          <w:sz w:val="32"/>
          <w:szCs w:val="32"/>
          <w:lang w:eastAsia="zh-CN"/>
        </w:rPr>
        <w:t>二、《</w:t>
      </w:r>
      <w:r>
        <w:rPr>
          <w:rFonts w:hint="eastAsia" w:ascii="黑体" w:hAnsi="黑体" w:eastAsia="黑体" w:cs="黑体"/>
          <w:spacing w:val="-11"/>
          <w:sz w:val="32"/>
          <w:szCs w:val="32"/>
          <w:lang w:eastAsia="zh-CN"/>
        </w:rPr>
        <w:t>粤港澳大湾区内地临床急需进口港澳药械流通管理系统数据采集接口规范</w:t>
      </w:r>
      <w:r>
        <w:rPr>
          <w:rFonts w:ascii="黑体" w:hAnsi="黑体" w:eastAsia="黑体" w:cs="黑体"/>
          <w:spacing w:val="-11"/>
          <w:sz w:val="32"/>
          <w:szCs w:val="32"/>
          <w:lang w:eastAsia="zh-CN"/>
        </w:rPr>
        <w:t>》</w:t>
      </w:r>
      <w:r>
        <w:rPr>
          <w:rFonts w:hint="eastAsia" w:ascii="黑体" w:hAnsi="黑体" w:eastAsia="黑体" w:cs="黑体"/>
          <w:spacing w:val="-11"/>
          <w:sz w:val="32"/>
          <w:szCs w:val="32"/>
          <w:lang w:eastAsia="zh-CN"/>
        </w:rPr>
        <w:t>主要</w:t>
      </w:r>
      <w:r>
        <w:rPr>
          <w:rFonts w:ascii="黑体" w:hAnsi="黑体" w:eastAsia="黑体" w:cs="黑体"/>
          <w:spacing w:val="-11"/>
          <w:sz w:val="32"/>
          <w:szCs w:val="32"/>
          <w:lang w:eastAsia="zh-CN"/>
        </w:rPr>
        <w:t>修订</w:t>
      </w:r>
      <w:r>
        <w:rPr>
          <w:rFonts w:hint="eastAsia" w:ascii="黑体" w:hAnsi="黑体" w:eastAsia="黑体" w:cs="黑体"/>
          <w:spacing w:val="-11"/>
          <w:sz w:val="32"/>
          <w:szCs w:val="32"/>
          <w:lang w:eastAsia="zh-CN"/>
        </w:rPr>
        <w:t>内容</w:t>
      </w:r>
    </w:p>
    <w:p>
      <w:pPr>
        <w:pStyle w:val="2"/>
        <w:widowControl w:val="0"/>
        <w:wordWrap w:val="0"/>
        <w:spacing w:before="0" w:line="600" w:lineRule="exact"/>
        <w:ind w:left="0" w:right="0" w:firstLine="658"/>
        <w:jc w:val="both"/>
        <w:rPr>
          <w:rFonts w:hint="eastAsia" w:hAnsi="楷体" w:cs="楷体"/>
          <w:spacing w:val="-2"/>
          <w:lang w:eastAsia="zh-CN"/>
        </w:rPr>
      </w:pPr>
      <w:r>
        <w:rPr>
          <w:rFonts w:ascii="楷体" w:hAnsi="楷体" w:eastAsia="楷体" w:cs="楷体"/>
          <w:spacing w:val="-15"/>
          <w:lang w:eastAsia="zh-CN"/>
        </w:rPr>
        <w:t>（一）新增“基础信息查询”接口，支持</w:t>
      </w:r>
      <w:r>
        <w:rPr>
          <w:rFonts w:hint="eastAsia" w:ascii="楷体" w:hAnsi="楷体" w:eastAsia="楷体" w:cs="楷体"/>
          <w:spacing w:val="-15"/>
          <w:lang w:eastAsia="zh-CN"/>
        </w:rPr>
        <w:t>接入单位</w:t>
      </w:r>
      <w:r>
        <w:rPr>
          <w:rFonts w:ascii="楷体" w:hAnsi="楷体" w:eastAsia="楷体" w:cs="楷体"/>
          <w:spacing w:val="-15"/>
          <w:lang w:eastAsia="zh-CN"/>
        </w:rPr>
        <w:t>对接前自查。</w:t>
      </w:r>
      <w:r>
        <w:rPr>
          <w:rFonts w:hint="eastAsia" w:ascii="仿宋" w:hAnsi="仿宋" w:eastAsia="仿宋" w:cs="仿宋"/>
          <w:spacing w:val="-2"/>
          <w:lang w:eastAsia="zh-CN"/>
        </w:rPr>
        <w:t>2025版增加/drugdwqreport/public/</w:t>
      </w:r>
      <w:r>
        <w:rPr>
          <w:rFonts w:hint="eastAsia" w:ascii="仿宋" w:hAnsi="仿宋" w:eastAsia="仿宋" w:cs="仿宋"/>
          <w:color w:val="333333"/>
          <w:kern w:val="2"/>
          <w:szCs w:val="21"/>
          <w:shd w:val="clear" w:color="auto" w:fill="FFFFFF"/>
          <w:lang w:eastAsia="zh-CN"/>
        </w:rPr>
        <w:t>approvalarchives</w:t>
      </w:r>
      <w:r>
        <w:rPr>
          <w:rFonts w:hint="eastAsia" w:ascii="仿宋" w:hAnsi="仿宋" w:eastAsia="仿宋" w:cs="仿宋"/>
          <w:spacing w:val="-2"/>
          <w:lang w:eastAsia="zh-CN"/>
        </w:rPr>
        <w:t>.do（药品）与/equipmentdwqreport/public/</w:t>
      </w:r>
      <w:r>
        <w:rPr>
          <w:rFonts w:hint="eastAsia" w:ascii="仿宋" w:hAnsi="仿宋" w:eastAsia="仿宋" w:cs="仿宋"/>
          <w:color w:val="333333"/>
          <w:kern w:val="2"/>
          <w:szCs w:val="21"/>
          <w:shd w:val="clear" w:color="auto" w:fill="FFFFFF"/>
          <w:lang w:eastAsia="zh-CN"/>
        </w:rPr>
        <w:t>approvalarchives</w:t>
      </w:r>
      <w:r>
        <w:rPr>
          <w:rFonts w:hint="eastAsia" w:ascii="仿宋" w:hAnsi="仿宋" w:eastAsia="仿宋" w:cs="仿宋"/>
          <w:spacing w:val="-2"/>
          <w:lang w:eastAsia="zh-CN"/>
        </w:rPr>
        <w:t>.do（医疗器械）接口，接入单位可按更新时间增量拉取批件基础数据，用于本地校验以及下游追溯码赋码，解决旧版缺少官方主数据同步渠道的问题。</w:t>
      </w:r>
    </w:p>
    <w:p>
      <w:pPr>
        <w:pStyle w:val="2"/>
        <w:widowControl w:val="0"/>
        <w:wordWrap w:val="0"/>
        <w:spacing w:before="0" w:line="600" w:lineRule="exact"/>
        <w:ind w:left="0" w:right="0" w:firstLine="658"/>
        <w:jc w:val="both"/>
        <w:rPr>
          <w:rFonts w:hint="eastAsia"/>
          <w:lang w:eastAsia="zh-CN"/>
        </w:rPr>
      </w:pPr>
      <w:r>
        <w:rPr>
          <w:rFonts w:ascii="楷体" w:hAnsi="楷体" w:eastAsia="楷体" w:cs="楷体"/>
          <w:spacing w:val="-15"/>
          <w:lang w:eastAsia="zh-CN"/>
        </w:rPr>
        <w:t>（</w:t>
      </w:r>
      <w:r>
        <w:rPr>
          <w:rFonts w:hint="eastAsia" w:ascii="楷体" w:hAnsi="楷体" w:eastAsia="楷体" w:cs="楷体"/>
          <w:spacing w:val="-15"/>
          <w:lang w:eastAsia="zh-CN"/>
        </w:rPr>
        <w:t>二</w:t>
      </w:r>
      <w:r>
        <w:rPr>
          <w:rFonts w:ascii="楷体" w:hAnsi="楷体" w:eastAsia="楷体" w:cs="楷体"/>
          <w:spacing w:val="-15"/>
          <w:lang w:eastAsia="zh-CN"/>
        </w:rPr>
        <w:t>）</w:t>
      </w:r>
      <w:r>
        <w:rPr>
          <w:rFonts w:hint="eastAsia" w:ascii="楷体" w:hAnsi="楷体" w:eastAsia="楷体" w:cs="楷体"/>
          <w:spacing w:val="-15"/>
          <w:lang w:eastAsia="zh-CN"/>
        </w:rPr>
        <w:t>删除接入单位上传</w:t>
      </w:r>
      <w:r>
        <w:rPr>
          <w:rFonts w:ascii="楷体" w:hAnsi="楷体" w:eastAsia="楷体" w:cs="楷体"/>
          <w:spacing w:val="-15"/>
          <w:lang w:eastAsia="zh-CN"/>
        </w:rPr>
        <w:t>XML</w:t>
      </w:r>
      <w:r>
        <w:rPr>
          <w:rFonts w:hint="eastAsia" w:ascii="楷体" w:hAnsi="楷体" w:eastAsia="楷体" w:cs="楷体"/>
          <w:spacing w:val="-15"/>
          <w:lang w:eastAsia="zh-CN"/>
        </w:rPr>
        <w:t>数字签名示例</w:t>
      </w:r>
      <w:r>
        <w:rPr>
          <w:rFonts w:ascii="楷体" w:hAnsi="楷体" w:eastAsia="楷体" w:cs="楷体"/>
          <w:spacing w:val="-15"/>
          <w:lang w:eastAsia="zh-CN"/>
        </w:rPr>
        <w:t>。</w:t>
      </w:r>
      <w:r>
        <w:rPr>
          <w:rFonts w:hint="eastAsia" w:ascii="仿宋" w:hAnsi="仿宋" w:eastAsia="仿宋" w:cs="仿宋"/>
          <w:spacing w:val="-2"/>
          <w:lang w:eastAsia="zh-CN"/>
        </w:rPr>
        <w:t>由于目前数据报送的身份认证机制由“数字证书”改为“统一身份平台 四级认证(L2) + TOKEN”，因此删除了数据签名示例等相关内容。</w:t>
      </w:r>
    </w:p>
    <w:sectPr>
      <w:footerReference r:id="rId3" w:type="default"/>
      <w:pgSz w:w="11906" w:h="16838"/>
      <w:pgMar w:top="1431" w:right="1634" w:bottom="1164" w:left="1785" w:header="0" w:footer="93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宋体S-超大字符集">
    <w:altName w:val="宋体"/>
    <w:panose1 w:val="02000000000000000000"/>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微软雅黑 Light">
    <w:altName w:val="黑体"/>
    <w:panose1 w:val="020B0502040204020203"/>
    <w:charset w:val="86"/>
    <w:family w:val="auto"/>
    <w:pitch w:val="default"/>
    <w:sig w:usb0="00000000" w:usb1="00000000" w:usb2="00000016" w:usb3="00000000" w:csb0="0004001F"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7" w:lineRule="auto"/>
      <w:ind w:left="4127"/>
      <w:rPr>
        <w:rFonts w:ascii="Calibri" w:hAnsi="Calibri" w:eastAsia="Calibri" w:cs="Calibri"/>
        <w:sz w:val="18"/>
        <w:szCs w:val="18"/>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210" w:leftChars="100" w:right="210" w:right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ind w:left="210" w:leftChars="100" w:right="210" w:right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1"/>
  <w:bordersDoNotSurroundFooter w:val="1"/>
  <w:hideSpellingErrors/>
  <w:hideGrammaticalErrors/>
  <w:trackRevisions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80B"/>
    <w:rsid w:val="0007513C"/>
    <w:rsid w:val="001357C7"/>
    <w:rsid w:val="002128DA"/>
    <w:rsid w:val="00261528"/>
    <w:rsid w:val="00293319"/>
    <w:rsid w:val="00333FAA"/>
    <w:rsid w:val="003C05B9"/>
    <w:rsid w:val="003E1392"/>
    <w:rsid w:val="0044080B"/>
    <w:rsid w:val="00464F1D"/>
    <w:rsid w:val="00475845"/>
    <w:rsid w:val="0048604F"/>
    <w:rsid w:val="00514B3E"/>
    <w:rsid w:val="00520B39"/>
    <w:rsid w:val="00697AF4"/>
    <w:rsid w:val="006E0367"/>
    <w:rsid w:val="007847CA"/>
    <w:rsid w:val="007B5F1C"/>
    <w:rsid w:val="007B6B17"/>
    <w:rsid w:val="00821F70"/>
    <w:rsid w:val="008757C4"/>
    <w:rsid w:val="008C4846"/>
    <w:rsid w:val="008D6A4D"/>
    <w:rsid w:val="00907A07"/>
    <w:rsid w:val="00941A4E"/>
    <w:rsid w:val="00AF30CD"/>
    <w:rsid w:val="00B24E97"/>
    <w:rsid w:val="00DC2F5F"/>
    <w:rsid w:val="00DF4D3E"/>
    <w:rsid w:val="10D44573"/>
    <w:rsid w:val="34733407"/>
    <w:rsid w:val="36212593"/>
    <w:rsid w:val="37253E8A"/>
    <w:rsid w:val="4C534025"/>
    <w:rsid w:val="6814352E"/>
    <w:rsid w:val="6DF91927"/>
    <w:rsid w:val="77FF33C9"/>
    <w:rsid w:val="87EA7B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_GB2312" w:hAnsi="仿宋_GB2312" w:eastAsia="仿宋_GB2312" w:cs="仿宋_GB2312"/>
      <w:sz w:val="32"/>
      <w:szCs w:val="32"/>
    </w:rPr>
  </w:style>
  <w:style w:type="paragraph" w:styleId="3">
    <w:name w:val="footer"/>
    <w:basedOn w:val="1"/>
    <w:link w:val="9"/>
    <w:qFormat/>
    <w:uiPriority w:val="0"/>
    <w:pPr>
      <w:tabs>
        <w:tab w:val="center" w:pos="4153"/>
        <w:tab w:val="right" w:pos="8306"/>
      </w:tabs>
    </w:pPr>
    <w:rPr>
      <w:sz w:val="18"/>
      <w:szCs w:val="18"/>
    </w:rPr>
  </w:style>
  <w:style w:type="paragraph" w:styleId="4">
    <w:name w:val="header"/>
    <w:basedOn w:val="1"/>
    <w:link w:val="8"/>
    <w:qFormat/>
    <w:uiPriority w:val="0"/>
    <w:pPr>
      <w:tabs>
        <w:tab w:val="center" w:pos="4153"/>
        <w:tab w:val="right" w:pos="8306"/>
      </w:tabs>
      <w:jc w:val="center"/>
    </w:pPr>
    <w:rPr>
      <w:sz w:val="18"/>
      <w:szCs w:val="18"/>
    </w:rPr>
  </w:style>
  <w:style w:type="table" w:customStyle="1" w:styleId="7">
    <w:name w:val="Table Normal"/>
    <w:unhideWhenUsed/>
    <w:qFormat/>
    <w:uiPriority w:val="0"/>
    <w:tblPr>
      <w:tblLayout w:type="fixed"/>
      <w:tblCellMar>
        <w:top w:w="0" w:type="dxa"/>
        <w:left w:w="0" w:type="dxa"/>
        <w:bottom w:w="0" w:type="dxa"/>
        <w:right w:w="0" w:type="dxa"/>
      </w:tblCellMar>
    </w:tblPr>
  </w:style>
  <w:style w:type="character" w:customStyle="1" w:styleId="8">
    <w:name w:val="页眉 字符"/>
    <w:basedOn w:val="5"/>
    <w:link w:val="4"/>
    <w:qFormat/>
    <w:uiPriority w:val="0"/>
    <w:rPr>
      <w:rFonts w:eastAsia="Arial"/>
      <w:snapToGrid w:val="0"/>
      <w:color w:val="000000"/>
      <w:sz w:val="18"/>
      <w:szCs w:val="18"/>
      <w:lang w:eastAsia="en-US"/>
    </w:rPr>
  </w:style>
  <w:style w:type="character" w:customStyle="1" w:styleId="9">
    <w:name w:val="页脚 字符"/>
    <w:basedOn w:val="5"/>
    <w:link w:val="3"/>
    <w:qFormat/>
    <w:uiPriority w:val="0"/>
    <w:rPr>
      <w:rFonts w:eastAsia="Arial"/>
      <w:snapToGrid w:val="0"/>
      <w:color w:val="000000"/>
      <w:sz w:val="18"/>
      <w:szCs w:val="18"/>
      <w:lang w:eastAsia="en-US"/>
    </w:rPr>
  </w:style>
  <w:style w:type="paragraph" w:customStyle="1" w:styleId="10">
    <w:name w:val="修订1"/>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113</Words>
  <Characters>649</Characters>
  <Lines>5</Lines>
  <Paragraphs>1</Paragraphs>
  <TotalTime>7</TotalTime>
  <ScaleCrop>false</ScaleCrop>
  <LinksUpToDate>false</LinksUpToDate>
  <CharactersWithSpaces>761</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2025-06-05T11:48:00Z</dcterms:created>
  <dc:creator>刘东成</dc:creator>
  <cp:lastModifiedBy>chenning</cp:lastModifiedBy>
  <dcterms:modified xsi:type="dcterms:W3CDTF">2025-10-17T07:33:08Z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2025-06-05T11:45:10Z</vt:filetime>
  </property>
  <property fmtid="{D5CDD505-2E9C-101B-9397-08002B2CF9AE}" pid="4" name="KSOProductBuildVer">
    <vt:lpwstr>2052-10.8.0.6423</vt:lpwstr>
  </property>
  <property fmtid="{D5CDD505-2E9C-101B-9397-08002B2CF9AE}" pid="5" name="ICV">
    <vt:lpwstr>598EF1F5AF1F46A690F1A0B4E06E992E_13</vt:lpwstr>
  </property>
  <property fmtid="{D5CDD505-2E9C-101B-9397-08002B2CF9AE}" pid="6" name="KSOTemplateDocerSaveRecord">
    <vt:lpwstr>eyJoZGlkIjoiZjBlNTBiNWQyOWM0NGI5Y2Q3OWQyMDkzOTI3ZTZjYjkiLCJ1c2VySWQiOiIzNzU2NjkxMjUifQ==</vt:lpwstr>
  </property>
</Properties>
</file>